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5F2CF" w14:textId="77777777" w:rsidR="00D96D42" w:rsidRPr="00B55712" w:rsidRDefault="00345928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24</w:t>
      </w:r>
    </w:p>
    <w:p w14:paraId="76F0E475" w14:textId="7B581EE3" w:rsidR="008C5271" w:rsidRPr="00BA7A1C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</w:t>
      </w:r>
      <w:r w:rsidR="00D32C1E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Тарифному соглашению № 1 на 202</w:t>
      </w:r>
      <w:r w:rsidR="00B20839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утвержденному решением Комиссии по разработке Тер</w:t>
      </w:r>
      <w:r w:rsidR="00D32C1E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риториальной программы ОМС от </w:t>
      </w:r>
      <w:r w:rsidR="00076669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="00D32C1E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076669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D32C1E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 w:rsidR="00076669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D32C1E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0</w:t>
      </w:r>
      <w:r w:rsidR="00076669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D32C1E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076669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bookmarkStart w:id="0" w:name="_GoBack"/>
      <w:bookmarkEnd w:id="0"/>
    </w:p>
    <w:p w14:paraId="22DD8830" w14:textId="497F953B" w:rsidR="00AE5A42" w:rsidRPr="00BA7A1C" w:rsidRDefault="00AE5A42" w:rsidP="00BA7A1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3E8CCCE1" w14:textId="77777777" w:rsidR="00BA7A1C" w:rsidRPr="00BA7A1C" w:rsidRDefault="00BA7A1C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7BE6A5D" w14:textId="77777777" w:rsidR="00AE5A42" w:rsidRPr="00BA7A1C" w:rsidRDefault="00AE5A42" w:rsidP="00AE5A42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BA7A1C">
        <w:rPr>
          <w:rFonts w:ascii="Times New Roman" w:hAnsi="Times New Roman" w:cs="Times New Roman"/>
          <w:b/>
          <w:sz w:val="28"/>
        </w:rPr>
        <w:t>Особенности оплаты случаев лечения по КСГ, в составе которых Программой установлена доля заработной платы и прочих расходов</w:t>
      </w:r>
    </w:p>
    <w:p w14:paraId="4F032BDB" w14:textId="7256D53B" w:rsidR="00AE5A42" w:rsidRDefault="00AE5A42" w:rsidP="00AE5A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230451" w14:textId="77777777" w:rsidR="00481ED8" w:rsidRPr="00B20839" w:rsidRDefault="00481ED8" w:rsidP="00481ED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w:r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>Стоимость одного случая госпитализации по КСГ, в составе которых Программой установлена доля заработной платы и прочих расходов, определяется по следующей формуле:</w:t>
      </w:r>
    </w:p>
    <w:p w14:paraId="4B695A56" w14:textId="77777777" w:rsidR="00481ED8" w:rsidRPr="00B20839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</w:p>
    <w:p w14:paraId="23BB76F3" w14:textId="77777777" w:rsidR="00481ED8" w:rsidRPr="00B20839" w:rsidRDefault="00B55712" w:rsidP="00481ED8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400" w:lineRule="exact"/>
        <w:ind w:right="-142"/>
        <w:jc w:val="center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СС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m:t>=БС×</m:t>
          </m:r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КЗ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m:t>×</m:t>
          </m:r>
          <m:d>
            <m:d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  <w:lang w:eastAsia="ru-RU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  <w:lang w:eastAsia="ru-RU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color w:val="000000" w:themeColor="text1"/>
                          <w:sz w:val="28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  <w:lang w:eastAsia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  <w:lang w:eastAsia="ru-RU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 xml:space="preserve"> +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  <w:lang w:eastAsia="ru-RU"/>
                    </w:rPr>
                    <m:t>Д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8"/>
                      <w:szCs w:val="20"/>
                      <w:lang w:eastAsia="ru-RU"/>
                    </w:rPr>
                    <m:t>ЗП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КС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КСГ</m:t>
                  </m:r>
                </m:sub>
              </m:sSub>
              <m:r>
                <w:rPr>
                  <w:rFonts w:ascii="Cambria Math" w:hAnsi="Cambria Math" w:cs="Calibri"/>
                  <w:color w:val="000000" w:themeColor="text1"/>
                  <w:sz w:val="29"/>
                  <w:szCs w:val="20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КУС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МО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×КД</m:t>
              </m:r>
            </m:e>
          </m:d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w:br/>
          </m:r>
        </m:oMath>
      </m:oMathPara>
      <m:oMath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  <w:lang w:eastAsia="ru-RU"/>
          </w:rPr>
          <m:t>+ БС×</m:t>
        </m:r>
        <m:sSup>
          <m:sSup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8"/>
                <w:szCs w:val="20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  <w:lang w:eastAsia="ru-RU"/>
              </w:rPr>
              <m:t>КД</m:t>
            </m:r>
          </m:e>
          <m:sup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  <w:lang w:eastAsia="ru-RU"/>
              </w:rPr>
              <m:t>*</m:t>
            </m:r>
          </m:sup>
        </m:sSup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  <w:lang w:eastAsia="ru-RU"/>
          </w:rPr>
          <m:t>×КСЛП</m:t>
        </m:r>
      </m:oMath>
      <w:r w:rsidR="00481ED8"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 xml:space="preserve">, </w:t>
      </w:r>
    </w:p>
    <w:p w14:paraId="69CF1CB8" w14:textId="77777777" w:rsidR="00481ED8" w:rsidRPr="00B20839" w:rsidRDefault="00481ED8" w:rsidP="00481ED8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Calibri"/>
          <w:color w:val="000000" w:themeColor="text1"/>
          <w:sz w:val="32"/>
          <w:szCs w:val="20"/>
          <w:lang w:eastAsia="ru-RU"/>
        </w:rPr>
      </w:pPr>
      <w:r w:rsidRPr="00B20839">
        <w:rPr>
          <w:rFonts w:ascii="Times New Roman" w:eastAsia="Times New Roman" w:hAnsi="Times New Roman" w:cs="Calibri"/>
          <w:color w:val="000000" w:themeColor="text1"/>
          <w:sz w:val="32"/>
          <w:szCs w:val="20"/>
          <w:lang w:eastAsia="ru-RU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481ED8" w:rsidRPr="00B20839" w14:paraId="5323C796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498DB3E2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БС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5C3AB44D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размер базовой ставки без учета коэффициента дифференциации, рублей;</w:t>
            </w:r>
          </w:p>
        </w:tc>
      </w:tr>
      <w:tr w:rsidR="00481ED8" w:rsidRPr="00B20839" w14:paraId="5085B20E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1EACA8A0" w14:textId="77777777" w:rsidR="00481ED8" w:rsidRPr="00B20839" w:rsidRDefault="00B55712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8"/>
                        <w:szCs w:val="20"/>
                        <w:vertAlign w:val="subscript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vertAlign w:val="subscript"/>
                        <w:lang w:eastAsia="ru-RU"/>
                      </w:rPr>
                      <m:t>КЗ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vertAlign w:val="subscript"/>
                        <w:lang w:eastAsia="ru-RU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60CDC183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коэффициент относительной </w:t>
            </w:r>
            <w:proofErr w:type="spellStart"/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затратоемкости</w:t>
            </w:r>
            <w:proofErr w:type="spellEnd"/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 по КСГ, к которой отнесен данный случай госпитализации;</w:t>
            </w:r>
          </w:p>
        </w:tc>
      </w:tr>
      <w:tr w:rsidR="00481ED8" w:rsidRPr="00B20839" w14:paraId="7A7C4B17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340C9968" w14:textId="77777777" w:rsidR="00481ED8" w:rsidRPr="00B20839" w:rsidRDefault="00B55712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32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32"/>
                        <w:szCs w:val="20"/>
                        <w:lang w:eastAsia="ru-RU"/>
                      </w:rPr>
                      <m:t>Д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32"/>
                        <w:szCs w:val="20"/>
                        <w:lang w:eastAsia="ru-RU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6265E7D9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доля заработной платы и прочих расходов в структуре стоимости КСГ (установленное Приложением № 4 к Программе значение, к которому применяется КД, КС и КУС);</w:t>
            </w:r>
          </w:p>
        </w:tc>
      </w:tr>
      <w:tr w:rsidR="00481ED8" w:rsidRPr="00B20839" w14:paraId="5B99DFAE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9BAB4" w14:textId="77777777" w:rsidR="00481ED8" w:rsidRPr="00B20839" w:rsidRDefault="00B55712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32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9"/>
                        <w:szCs w:val="20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65C3CEB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коэффициент специфики КСГ, к которой отнесен данный случай госпитализации (используется в </w:t>
            </w:r>
            <w:proofErr w:type="gramStart"/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расчетах, в случае, если</w:t>
            </w:r>
            <w:proofErr w:type="gramEnd"/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 указанный коэффициент определен в субъекте Российской Федерации для данной КСГ);</w:t>
            </w:r>
          </w:p>
        </w:tc>
      </w:tr>
      <w:tr w:rsidR="00481ED8" w:rsidRPr="00B20839" w14:paraId="1D591459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39270E06" w14:textId="77777777" w:rsidR="00481ED8" w:rsidRPr="00B20839" w:rsidRDefault="00B55712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9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КУС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2A51C0AA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481ED8" w:rsidRPr="00B20839" w14:paraId="745047B0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D6E64F5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КД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0F2407EA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коэффициент дифференциации, рассчитанный в соответствии </w:t>
            </w: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br/>
              <w:t>с Постановлением № 462;</w:t>
            </w:r>
          </w:p>
        </w:tc>
      </w:tr>
      <w:tr w:rsidR="00481ED8" w:rsidRPr="00B20839" w14:paraId="5610D3AD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46DB272B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КСЛП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607A7CC1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коэффициент сложности лечения пациента (при необходимости, сумма применяемых КСЛП).</w:t>
            </w:r>
          </w:p>
        </w:tc>
      </w:tr>
    </w:tbl>
    <w:p w14:paraId="5E956C56" w14:textId="77777777" w:rsidR="00481ED8" w:rsidRPr="00B20839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</w:p>
    <w:p w14:paraId="256A0CF0" w14:textId="77777777" w:rsidR="00481ED8" w:rsidRPr="00B20839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w:r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</w:t>
      </w:r>
    </w:p>
    <w:p w14:paraId="707F2A07" w14:textId="77777777" w:rsidR="00481ED8" w:rsidRPr="00B20839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</w:p>
    <w:p w14:paraId="40258C63" w14:textId="2710DAF1" w:rsidR="00481ED8" w:rsidRPr="00481ED8" w:rsidRDefault="00481ED8" w:rsidP="00481ED8">
      <w:pPr>
        <w:widowControl w:val="0"/>
        <w:autoSpaceDE w:val="0"/>
        <w:autoSpaceDN w:val="0"/>
        <w:spacing w:after="0" w:line="360" w:lineRule="exact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w:r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 xml:space="preserve">В случае выделения в субъекте Российской Федерации подгрупп </w:t>
      </w:r>
      <w:r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br/>
        <w:t xml:space="preserve">в составе КСГ, для которых Приложением № 4 к Программе установлена </w:t>
      </w:r>
      <w:r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br/>
        <w:t>доля заработной платы и прочих расходов, в Тарифном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подгрупп.</w:t>
      </w:r>
    </w:p>
    <w:sectPr w:rsidR="00481ED8" w:rsidRPr="00481ED8" w:rsidSect="00DA27E0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271"/>
    <w:rsid w:val="00076669"/>
    <w:rsid w:val="00124305"/>
    <w:rsid w:val="0023110B"/>
    <w:rsid w:val="002601D1"/>
    <w:rsid w:val="0030138C"/>
    <w:rsid w:val="00345928"/>
    <w:rsid w:val="004512A0"/>
    <w:rsid w:val="00481ED8"/>
    <w:rsid w:val="004A3C93"/>
    <w:rsid w:val="004D3832"/>
    <w:rsid w:val="00687D83"/>
    <w:rsid w:val="008C5271"/>
    <w:rsid w:val="008F3AE0"/>
    <w:rsid w:val="00AE5A42"/>
    <w:rsid w:val="00B20839"/>
    <w:rsid w:val="00B27372"/>
    <w:rsid w:val="00B55712"/>
    <w:rsid w:val="00B72436"/>
    <w:rsid w:val="00BA7A1C"/>
    <w:rsid w:val="00D32C1E"/>
    <w:rsid w:val="00D96D42"/>
    <w:rsid w:val="00DA27E0"/>
    <w:rsid w:val="00DA319E"/>
    <w:rsid w:val="00E05A05"/>
    <w:rsid w:val="00FE0877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B2E8"/>
  <w15:docId w15:val="{D920807D-83CE-43C0-BC83-37A780A5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1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27</cp:revision>
  <dcterms:created xsi:type="dcterms:W3CDTF">2021-01-13T23:10:00Z</dcterms:created>
  <dcterms:modified xsi:type="dcterms:W3CDTF">2024-01-18T22:49:00Z</dcterms:modified>
</cp:coreProperties>
</file>