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C5C25" w14:textId="4ABBB8AE" w:rsidR="002C06A9" w:rsidRPr="00410E7C" w:rsidRDefault="002C06A9" w:rsidP="002C06A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13</w:t>
      </w:r>
    </w:p>
    <w:p w14:paraId="4D37CEE2" w14:textId="77777777" w:rsidR="002C06A9" w:rsidRPr="00410E7C" w:rsidRDefault="002C06A9" w:rsidP="002C06A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Комиссии по разработке Территориальной программы ОМС</w:t>
      </w:r>
    </w:p>
    <w:p w14:paraId="71088CF7" w14:textId="40366466" w:rsidR="002C06A9" w:rsidRPr="00410E7C" w:rsidRDefault="002C06A9" w:rsidP="002C06A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03741F">
        <w:rPr>
          <w:rFonts w:ascii="Times New Roman" w:eastAsia="Times New Roman" w:hAnsi="Times New Roman" w:cs="Times New Roman"/>
          <w:sz w:val="28"/>
          <w:szCs w:val="20"/>
          <w:lang w:eastAsia="ru-RU"/>
        </w:rPr>
        <w:t>17</w:t>
      </w:r>
      <w:r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 w:rsidR="0003741F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>.2023 г. № 0</w:t>
      </w:r>
      <w:r w:rsidR="00F16229"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>-2023</w:t>
      </w:r>
    </w:p>
    <w:p w14:paraId="39B3AD6E" w14:textId="77777777" w:rsidR="002C06A9" w:rsidRPr="00410E7C" w:rsidRDefault="002C06A9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B75F2CF" w14:textId="2BEB7B55" w:rsidR="00D96D42" w:rsidRPr="00410E7C" w:rsidRDefault="002C06A9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345928"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№ 24</w:t>
      </w:r>
    </w:p>
    <w:p w14:paraId="76F0E475" w14:textId="041CC151" w:rsidR="008C5271" w:rsidRPr="00410E7C" w:rsidRDefault="00D96D42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</w:t>
      </w:r>
      <w:r w:rsidR="00D32C1E"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>Тарифному соглашению № 1 на 202</w:t>
      </w:r>
      <w:r w:rsidR="00FE0877"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год, утвержденному решением Комиссии по разработке Тер</w:t>
      </w:r>
      <w:r w:rsidR="00D32C1E"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риториальной программы ОМС от </w:t>
      </w:r>
      <w:r w:rsidR="00B72436"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D32C1E"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 w:rsidR="00B72436"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D32C1E"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 w:rsidR="00B72436"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D32C1E"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№ 0</w:t>
      </w:r>
      <w:r w:rsidR="00B72436"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D32C1E"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>-202</w:t>
      </w:r>
      <w:r w:rsidR="00B72436" w:rsidRPr="00410E7C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14:paraId="22DD8830" w14:textId="497F953B" w:rsidR="00AE5A42" w:rsidRPr="00410E7C" w:rsidRDefault="00AE5A42" w:rsidP="00BA7A1C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3E8CCCE1" w14:textId="77777777" w:rsidR="00BA7A1C" w:rsidRPr="00410E7C" w:rsidRDefault="00BA7A1C" w:rsidP="00BA7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27BE6A5D" w14:textId="77777777" w:rsidR="00AE5A42" w:rsidRPr="00410E7C" w:rsidRDefault="00AE5A42" w:rsidP="00AE5A42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410E7C">
        <w:rPr>
          <w:rFonts w:ascii="Times New Roman" w:hAnsi="Times New Roman" w:cs="Times New Roman"/>
          <w:b/>
          <w:sz w:val="28"/>
        </w:rPr>
        <w:t>Особенности оплаты случаев лечения по КСГ, в составе которых Программой установлена доля заработной платы и прочих расходов</w:t>
      </w:r>
    </w:p>
    <w:p w14:paraId="4F032BDB" w14:textId="7256D53B" w:rsidR="00AE5A42" w:rsidRPr="00410E7C" w:rsidRDefault="00AE5A42" w:rsidP="00AE5A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5230451" w14:textId="77777777" w:rsidR="00481ED8" w:rsidRPr="00410E7C" w:rsidRDefault="00481ED8" w:rsidP="00481ED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</w:pPr>
      <w:r w:rsidRPr="00410E7C"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  <w:t>Стоимость одного случая госпитализации по КСГ, в составе которых Программой установлена доля заработной платы и прочих расходов, определяется по следующей формуле:</w:t>
      </w:r>
    </w:p>
    <w:p w14:paraId="4B695A56" w14:textId="77777777" w:rsidR="00481ED8" w:rsidRPr="00410E7C" w:rsidRDefault="00481ED8" w:rsidP="00481E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</w:pPr>
    </w:p>
    <w:p w14:paraId="23BB76F3" w14:textId="77777777" w:rsidR="00481ED8" w:rsidRPr="00410E7C" w:rsidRDefault="0003741F" w:rsidP="00481ED8">
      <w:pPr>
        <w:widowControl w:val="0"/>
        <w:tabs>
          <w:tab w:val="left" w:pos="567"/>
          <w:tab w:val="right" w:pos="9498"/>
        </w:tabs>
        <w:autoSpaceDE w:val="0"/>
        <w:autoSpaceDN w:val="0"/>
        <w:spacing w:after="0" w:line="400" w:lineRule="exact"/>
        <w:ind w:right="-142"/>
        <w:jc w:val="center"/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Calibri"/>
                  <w:i/>
                  <w:color w:val="000000" w:themeColor="text1"/>
                  <w:sz w:val="28"/>
                  <w:szCs w:val="20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  <w:lang w:eastAsia="ru-RU"/>
                </w:rPr>
                <m:t>СС</m:t>
              </m:r>
            </m:e>
            <m: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  <w:lang w:eastAsia="ru-RU"/>
                </w:rPr>
                <m:t>КСГ</m:t>
              </m:r>
            </m:sub>
          </m:sSub>
          <m: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  <w:lang w:eastAsia="ru-RU"/>
            </w:rPr>
            <m:t>=БС×</m:t>
          </m:r>
          <m:sSub>
            <m:sSubPr>
              <m:ctrlPr>
                <w:rPr>
                  <w:rFonts w:ascii="Cambria Math" w:eastAsia="Times New Roman" w:hAnsi="Cambria Math" w:cs="Calibri"/>
                  <w:i/>
                  <w:color w:val="000000" w:themeColor="text1"/>
                  <w:sz w:val="28"/>
                  <w:szCs w:val="20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  <w:lang w:eastAsia="ru-RU"/>
                </w:rPr>
                <m:t>КЗ</m:t>
              </m:r>
            </m:e>
            <m: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  <w:lang w:eastAsia="ru-RU"/>
                </w:rPr>
                <m:t>КСГ</m:t>
              </m:r>
            </m:sub>
          </m:sSub>
          <m: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  <w:lang w:eastAsia="ru-RU"/>
            </w:rPr>
            <m:t>×</m:t>
          </m:r>
          <m:d>
            <m:dPr>
              <m:ctrlPr>
                <w:rPr>
                  <w:rFonts w:ascii="Cambria Math" w:eastAsia="Times New Roman" w:hAnsi="Cambria Math" w:cs="Calibri"/>
                  <w:i/>
                  <w:color w:val="000000" w:themeColor="text1"/>
                  <w:sz w:val="28"/>
                  <w:szCs w:val="20"/>
                  <w:lang w:eastAsia="ru-RU"/>
                </w:rPr>
              </m:ctrlPr>
            </m:dPr>
            <m:e>
              <m:d>
                <m:d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8"/>
                      <w:szCs w:val="20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8"/>
                      <w:szCs w:val="20"/>
                      <w:lang w:eastAsia="ru-RU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color w:val="000000" w:themeColor="text1"/>
                          <w:sz w:val="28"/>
                          <w:szCs w:val="20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8"/>
                          <w:szCs w:val="20"/>
                          <w:lang w:eastAsia="ru-RU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8"/>
                          <w:szCs w:val="20"/>
                          <w:lang w:eastAsia="ru-RU"/>
                        </w:rPr>
                        <m:t>ЗП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  <w:lang w:eastAsia="ru-RU"/>
                </w:rPr>
                <m:t xml:space="preserve"> +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8"/>
                      <w:szCs w:val="20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8"/>
                      <w:szCs w:val="20"/>
                      <w:lang w:eastAsia="ru-RU"/>
                    </w:rPr>
                    <m:t>Д</m:t>
                  </m:r>
                </m:e>
                <m:sub>
                  <m:r>
                    <w:rPr>
                      <w:rFonts w:ascii="Cambria Math" w:hAnsi="Cambria Math" w:cs="Calibri"/>
                      <w:color w:val="000000" w:themeColor="text1"/>
                      <w:sz w:val="28"/>
                      <w:szCs w:val="20"/>
                      <w:lang w:eastAsia="ru-RU"/>
                    </w:rPr>
                    <m:t>ЗП</m:t>
                  </m:r>
                </m:sub>
              </m:s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9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  <w:lang w:eastAsia="ru-RU"/>
                    </w:rPr>
                    <m:t>КС</m:t>
                  </m:r>
                </m:e>
                <m:sub>
                  <m: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  <w:lang w:eastAsia="ru-RU"/>
                    </w:rPr>
                    <m:t>КСГ</m:t>
                  </m:r>
                </m:sub>
              </m:sSub>
              <m:r>
                <w:rPr>
                  <w:rFonts w:ascii="Cambria Math" w:hAnsi="Cambria Math" w:cs="Calibri"/>
                  <w:color w:val="000000" w:themeColor="text1"/>
                  <w:sz w:val="29"/>
                  <w:szCs w:val="20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9"/>
                      <w:szCs w:val="20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  <w:lang w:eastAsia="ru-RU"/>
                    </w:rPr>
                    <m:t>КУС</m:t>
                  </m:r>
                </m:e>
                <m:sub>
                  <m: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  <w:lang w:eastAsia="ru-RU"/>
                    </w:rPr>
                    <m:t>МО</m:t>
                  </m:r>
                </m:sub>
              </m:s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  <w:lang w:eastAsia="ru-RU"/>
                </w:rPr>
                <m:t>×КД</m:t>
              </m:r>
            </m:e>
          </m:d>
          <m: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  <w:lang w:eastAsia="ru-RU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  <w:lang w:eastAsia="ru-RU"/>
            </w:rPr>
            <w:br/>
          </m:r>
        </m:oMath>
      </m:oMathPara>
      <m:oMath>
        <m:r>
          <w:rPr>
            <w:rFonts w:ascii="Cambria Math" w:eastAsia="Times New Roman" w:hAnsi="Cambria Math" w:cs="Calibri"/>
            <w:color w:val="000000" w:themeColor="text1"/>
            <w:sz w:val="28"/>
            <w:szCs w:val="20"/>
            <w:lang w:eastAsia="ru-RU"/>
          </w:rPr>
          <m:t>+ БС×</m:t>
        </m:r>
        <m:sSup>
          <m:sSup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28"/>
                <w:szCs w:val="20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Calibri"/>
                <w:color w:val="000000" w:themeColor="text1"/>
                <w:sz w:val="28"/>
                <w:szCs w:val="20"/>
                <w:lang w:eastAsia="ru-RU"/>
              </w:rPr>
              <m:t>КД</m:t>
            </m:r>
          </m:e>
          <m:sup>
            <m:r>
              <w:rPr>
                <w:rFonts w:ascii="Cambria Math" w:eastAsia="Times New Roman" w:hAnsi="Cambria Math" w:cs="Calibri"/>
                <w:color w:val="000000" w:themeColor="text1"/>
                <w:sz w:val="28"/>
                <w:szCs w:val="20"/>
                <w:lang w:eastAsia="ru-RU"/>
              </w:rPr>
              <m:t>*</m:t>
            </m:r>
          </m:sup>
        </m:sSup>
        <m:r>
          <w:rPr>
            <w:rFonts w:ascii="Cambria Math" w:eastAsia="Times New Roman" w:hAnsi="Cambria Math" w:cs="Calibri"/>
            <w:color w:val="000000" w:themeColor="text1"/>
            <w:sz w:val="28"/>
            <w:szCs w:val="20"/>
            <w:lang w:eastAsia="ru-RU"/>
          </w:rPr>
          <m:t>×КСЛП</m:t>
        </m:r>
      </m:oMath>
      <w:r w:rsidR="00481ED8" w:rsidRPr="00410E7C"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  <w:t xml:space="preserve">, </w:t>
      </w:r>
    </w:p>
    <w:p w14:paraId="69CF1CB8" w14:textId="77777777" w:rsidR="00481ED8" w:rsidRPr="00410E7C" w:rsidRDefault="00481ED8" w:rsidP="00481ED8">
      <w:pPr>
        <w:widowControl w:val="0"/>
        <w:tabs>
          <w:tab w:val="left" w:pos="567"/>
          <w:tab w:val="right" w:pos="9498"/>
        </w:tabs>
        <w:autoSpaceDE w:val="0"/>
        <w:autoSpaceDN w:val="0"/>
        <w:spacing w:after="0" w:line="240" w:lineRule="auto"/>
        <w:ind w:right="-143"/>
        <w:rPr>
          <w:rFonts w:ascii="Times New Roman" w:eastAsia="Times New Roman" w:hAnsi="Times New Roman" w:cs="Calibri"/>
          <w:color w:val="000000" w:themeColor="text1"/>
          <w:sz w:val="32"/>
          <w:szCs w:val="20"/>
          <w:lang w:eastAsia="ru-RU"/>
        </w:rPr>
      </w:pPr>
      <w:r w:rsidRPr="00410E7C">
        <w:rPr>
          <w:rFonts w:ascii="Times New Roman" w:eastAsia="Times New Roman" w:hAnsi="Times New Roman" w:cs="Calibri"/>
          <w:color w:val="000000" w:themeColor="text1"/>
          <w:sz w:val="32"/>
          <w:szCs w:val="20"/>
          <w:lang w:eastAsia="ru-RU"/>
        </w:rPr>
        <w:t>где: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796"/>
      </w:tblGrid>
      <w:tr w:rsidR="00481ED8" w:rsidRPr="00410E7C" w14:paraId="5323C796" w14:textId="77777777" w:rsidTr="00D538A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498DB3E2" w14:textId="77777777" w:rsidR="00481ED8" w:rsidRPr="00410E7C" w:rsidRDefault="00481ED8" w:rsidP="00D538A1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410E7C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БС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5C3AB44D" w14:textId="77777777" w:rsidR="00481ED8" w:rsidRPr="00410E7C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410E7C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размер базовой ставки без учета коэффициента дифференциации, рублей;</w:t>
            </w:r>
          </w:p>
        </w:tc>
      </w:tr>
      <w:tr w:rsidR="00481ED8" w:rsidRPr="00410E7C" w14:paraId="5085B20E" w14:textId="77777777" w:rsidTr="00D538A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1EACA8A0" w14:textId="77777777" w:rsidR="00481ED8" w:rsidRPr="00410E7C" w:rsidRDefault="0003741F" w:rsidP="00D538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8"/>
                        <w:szCs w:val="20"/>
                        <w:vertAlign w:val="subscript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8"/>
                        <w:szCs w:val="20"/>
                        <w:vertAlign w:val="subscript"/>
                        <w:lang w:eastAsia="ru-RU"/>
                      </w:rPr>
                      <m:t>КЗ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8"/>
                        <w:szCs w:val="20"/>
                        <w:vertAlign w:val="subscript"/>
                        <w:lang w:eastAsia="ru-RU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60CDC183" w14:textId="77777777" w:rsidR="00481ED8" w:rsidRPr="00410E7C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410E7C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 xml:space="preserve">коэффициент относительной </w:t>
            </w:r>
            <w:proofErr w:type="spellStart"/>
            <w:r w:rsidRPr="00410E7C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затратоемкости</w:t>
            </w:r>
            <w:proofErr w:type="spellEnd"/>
            <w:r w:rsidRPr="00410E7C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 xml:space="preserve"> по КСГ, к которой отнесен данный случай госпитализации;</w:t>
            </w:r>
          </w:p>
        </w:tc>
      </w:tr>
      <w:tr w:rsidR="00481ED8" w:rsidRPr="00410E7C" w14:paraId="7A7C4B17" w14:textId="77777777" w:rsidTr="00D538A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340C9968" w14:textId="77777777" w:rsidR="00481ED8" w:rsidRPr="00410E7C" w:rsidRDefault="0003741F" w:rsidP="00D538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32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32"/>
                        <w:szCs w:val="20"/>
                        <w:lang w:eastAsia="ru-RU"/>
                      </w:rPr>
                      <m:t>Д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32"/>
                        <w:szCs w:val="20"/>
                        <w:lang w:eastAsia="ru-RU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6265E7D9" w14:textId="77777777" w:rsidR="00481ED8" w:rsidRPr="00410E7C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410E7C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доля заработной платы и прочих расходов в структуре стоимости КСГ (установленное Приложением № 4 к Программе значение, к которому применяется КД, КС и КУС);</w:t>
            </w:r>
          </w:p>
        </w:tc>
      </w:tr>
      <w:tr w:rsidR="00481ED8" w:rsidRPr="00410E7C" w14:paraId="5B99DFAE" w14:textId="77777777" w:rsidTr="00D538A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9BAB4" w14:textId="77777777" w:rsidR="00481ED8" w:rsidRPr="00410E7C" w:rsidRDefault="0003741F" w:rsidP="00D538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32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9"/>
                        <w:szCs w:val="20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 w:themeColor="text1"/>
                        <w:sz w:val="29"/>
                        <w:szCs w:val="20"/>
                        <w:lang w:eastAsia="ru-RU"/>
                      </w:rPr>
                      <m:t>КС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 w:themeColor="text1"/>
                        <w:sz w:val="29"/>
                        <w:szCs w:val="20"/>
                        <w:lang w:eastAsia="ru-RU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465C3CEB" w14:textId="77777777" w:rsidR="00481ED8" w:rsidRPr="00410E7C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410E7C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 xml:space="preserve">коэффициент специфики КСГ, к которой отнесен данный случай госпитализации (используется в </w:t>
            </w:r>
            <w:proofErr w:type="gramStart"/>
            <w:r w:rsidRPr="00410E7C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расчетах, в случае, если</w:t>
            </w:r>
            <w:proofErr w:type="gramEnd"/>
            <w:r w:rsidRPr="00410E7C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 xml:space="preserve"> указанный коэффициент определен в субъекте Российской Федерации для данной КСГ);</w:t>
            </w:r>
          </w:p>
        </w:tc>
      </w:tr>
      <w:tr w:rsidR="00481ED8" w:rsidRPr="00410E7C" w14:paraId="1D591459" w14:textId="77777777" w:rsidTr="00D538A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39270E06" w14:textId="77777777" w:rsidR="00481ED8" w:rsidRPr="00410E7C" w:rsidRDefault="0003741F" w:rsidP="00D538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9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color w:val="000000" w:themeColor="text1"/>
                        <w:sz w:val="29"/>
                        <w:szCs w:val="20"/>
                        <w:lang w:eastAsia="ru-RU"/>
                      </w:rPr>
                      <m:t>КУС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 w:themeColor="text1"/>
                        <w:sz w:val="29"/>
                        <w:szCs w:val="20"/>
                        <w:lang w:eastAsia="ru-RU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2A51C0AA" w14:textId="77777777" w:rsidR="00481ED8" w:rsidRPr="00410E7C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410E7C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481ED8" w:rsidRPr="00410E7C" w14:paraId="745047B0" w14:textId="77777777" w:rsidTr="00D538A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7D6E64F5" w14:textId="77777777" w:rsidR="00481ED8" w:rsidRPr="00410E7C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410E7C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КД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0F2407EA" w14:textId="77777777" w:rsidR="00481ED8" w:rsidRPr="00410E7C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410E7C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 xml:space="preserve">коэффициент дифференциации, рассчитанный в соответствии </w:t>
            </w:r>
            <w:r w:rsidRPr="00410E7C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br/>
              <w:t>с Постановлением № 462;</w:t>
            </w:r>
          </w:p>
        </w:tc>
      </w:tr>
      <w:tr w:rsidR="00481ED8" w:rsidRPr="00410E7C" w14:paraId="5610D3AD" w14:textId="77777777" w:rsidTr="00D538A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46DB272B" w14:textId="77777777" w:rsidR="00481ED8" w:rsidRPr="00410E7C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410E7C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КСЛП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607A7CC1" w14:textId="77777777" w:rsidR="00481ED8" w:rsidRPr="00410E7C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410E7C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коэффициент сложности лечения пациента (при необходимости, сумма применяемых КСЛП).</w:t>
            </w:r>
          </w:p>
        </w:tc>
      </w:tr>
    </w:tbl>
    <w:p w14:paraId="5E956C56" w14:textId="77777777" w:rsidR="00481ED8" w:rsidRPr="00410E7C" w:rsidRDefault="00481ED8" w:rsidP="00481E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</w:pPr>
    </w:p>
    <w:p w14:paraId="256A0CF0" w14:textId="77777777" w:rsidR="00481ED8" w:rsidRPr="00410E7C" w:rsidRDefault="00481ED8" w:rsidP="00481E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</w:pPr>
      <w:r w:rsidRPr="00410E7C"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(равно единице)</w:t>
      </w:r>
    </w:p>
    <w:p w14:paraId="707F2A07" w14:textId="77777777" w:rsidR="00481ED8" w:rsidRPr="00410E7C" w:rsidRDefault="00481ED8" w:rsidP="00481E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</w:pPr>
    </w:p>
    <w:p w14:paraId="40258C63" w14:textId="3775D8FD" w:rsidR="00481ED8" w:rsidRPr="00481ED8" w:rsidRDefault="00481ED8" w:rsidP="00481ED8">
      <w:pPr>
        <w:widowControl w:val="0"/>
        <w:autoSpaceDE w:val="0"/>
        <w:autoSpaceDN w:val="0"/>
        <w:spacing w:after="0" w:line="360" w:lineRule="exact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</w:pPr>
      <w:r w:rsidRPr="00410E7C"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  <w:t xml:space="preserve">В случае выделения в субъекте Российской Федерации подгрупп </w:t>
      </w:r>
      <w:r w:rsidRPr="00410E7C"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  <w:br/>
        <w:t xml:space="preserve">в составе КСГ, для которых Приложением № 4 к Программе установлена </w:t>
      </w:r>
      <w:r w:rsidRPr="00410E7C"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  <w:br/>
      </w:r>
      <w:r w:rsidRPr="00410E7C"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  <w:lastRenderedPageBreak/>
        <w:t>доля заработной платы и прочих расходов, в Тарифном соглашении субъекта Российской Федерации устанавливаются рассчитанные в субъекте Российской Федерации доли заработной платы и прочих расходов в структуре выделяемых подгрупп.</w:t>
      </w:r>
      <w:r w:rsidR="002C06A9" w:rsidRPr="00410E7C"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  <w:t>».</w:t>
      </w:r>
    </w:p>
    <w:sectPr w:rsidR="00481ED8" w:rsidRPr="00481ED8" w:rsidSect="00DA27E0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5271"/>
    <w:rsid w:val="0003741F"/>
    <w:rsid w:val="00124305"/>
    <w:rsid w:val="0023110B"/>
    <w:rsid w:val="002601D1"/>
    <w:rsid w:val="002C06A9"/>
    <w:rsid w:val="0030138C"/>
    <w:rsid w:val="00345928"/>
    <w:rsid w:val="00410E7C"/>
    <w:rsid w:val="004512A0"/>
    <w:rsid w:val="00481ED8"/>
    <w:rsid w:val="004A3C93"/>
    <w:rsid w:val="004D3832"/>
    <w:rsid w:val="00687D83"/>
    <w:rsid w:val="008C5271"/>
    <w:rsid w:val="008F3AE0"/>
    <w:rsid w:val="00AE5A42"/>
    <w:rsid w:val="00B27372"/>
    <w:rsid w:val="00B72436"/>
    <w:rsid w:val="00BA7A1C"/>
    <w:rsid w:val="00D32C1E"/>
    <w:rsid w:val="00D96D42"/>
    <w:rsid w:val="00DA27E0"/>
    <w:rsid w:val="00DA319E"/>
    <w:rsid w:val="00E05A05"/>
    <w:rsid w:val="00F16229"/>
    <w:rsid w:val="00FE0877"/>
    <w:rsid w:val="00FE65B9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B2E8"/>
  <w15:docId w15:val="{D920807D-83CE-43C0-BC83-37A780A5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12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1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Рискин</dc:creator>
  <cp:lastModifiedBy>Игорь Ященко</cp:lastModifiedBy>
  <cp:revision>28</cp:revision>
  <cp:lastPrinted>2023-03-31T04:21:00Z</cp:lastPrinted>
  <dcterms:created xsi:type="dcterms:W3CDTF">2021-01-13T23:10:00Z</dcterms:created>
  <dcterms:modified xsi:type="dcterms:W3CDTF">2023-05-04T03:08:00Z</dcterms:modified>
</cp:coreProperties>
</file>