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B4DAE2" w14:textId="1F994DF0" w:rsidR="003330E7" w:rsidRPr="00F04006" w:rsidRDefault="003330E7" w:rsidP="003330E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40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595939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</w:p>
    <w:p w14:paraId="083DFA94" w14:textId="77777777" w:rsidR="003330E7" w:rsidRPr="00F04006" w:rsidRDefault="003330E7" w:rsidP="003330E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4006">
        <w:rPr>
          <w:rFonts w:ascii="Times New Roman" w:eastAsia="Times New Roman" w:hAnsi="Times New Roman" w:cs="Times New Roman"/>
          <w:sz w:val="26"/>
          <w:szCs w:val="26"/>
          <w:lang w:eastAsia="ru-RU"/>
        </w:rPr>
        <w:t>к решению Комиссии по разработке Территориальной программы ОМС</w:t>
      </w:r>
    </w:p>
    <w:p w14:paraId="6FA441BE" w14:textId="78F0F649" w:rsidR="003330E7" w:rsidRPr="00F04006" w:rsidRDefault="003330E7" w:rsidP="003330E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40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055597">
        <w:rPr>
          <w:rFonts w:ascii="Times New Roman" w:eastAsia="Times New Roman" w:hAnsi="Times New Roman" w:cs="Times New Roman"/>
          <w:sz w:val="26"/>
          <w:szCs w:val="26"/>
          <w:lang w:eastAsia="ru-RU"/>
        </w:rPr>
        <w:t>18</w:t>
      </w:r>
      <w:r w:rsidRPr="00F04006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055597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F04006">
        <w:rPr>
          <w:rFonts w:ascii="Times New Roman" w:eastAsia="Times New Roman" w:hAnsi="Times New Roman" w:cs="Times New Roman"/>
          <w:sz w:val="26"/>
          <w:szCs w:val="26"/>
          <w:lang w:eastAsia="ru-RU"/>
        </w:rPr>
        <w:t>.2022 г. № 0</w:t>
      </w:r>
      <w:r w:rsidR="0005559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bookmarkStart w:id="0" w:name="_GoBack"/>
      <w:bookmarkEnd w:id="0"/>
      <w:r w:rsidRPr="00F04006">
        <w:rPr>
          <w:rFonts w:ascii="Times New Roman" w:eastAsia="Times New Roman" w:hAnsi="Times New Roman" w:cs="Times New Roman"/>
          <w:sz w:val="26"/>
          <w:szCs w:val="26"/>
          <w:lang w:eastAsia="ru-RU"/>
        </w:rPr>
        <w:t>-2022</w:t>
      </w:r>
    </w:p>
    <w:p w14:paraId="1C99BF60" w14:textId="77777777" w:rsidR="003330E7" w:rsidRPr="00F04006" w:rsidRDefault="003330E7" w:rsidP="003330E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B75F2CF" w14:textId="22253E05" w:rsidR="00D96D42" w:rsidRPr="00F04006" w:rsidRDefault="003330E7" w:rsidP="00D96D4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4006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345928" w:rsidRPr="00F0400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2</w:t>
      </w:r>
      <w:r w:rsidRPr="00F04006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</w:p>
    <w:p w14:paraId="76F0E475" w14:textId="33867D3E" w:rsidR="008C5271" w:rsidRPr="00F04006" w:rsidRDefault="00D96D42" w:rsidP="00D96D4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40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</w:t>
      </w:r>
      <w:r w:rsidR="00D32C1E" w:rsidRPr="00F04006">
        <w:rPr>
          <w:rFonts w:ascii="Times New Roman" w:eastAsia="Times New Roman" w:hAnsi="Times New Roman" w:cs="Times New Roman"/>
          <w:sz w:val="26"/>
          <w:szCs w:val="26"/>
          <w:lang w:eastAsia="ru-RU"/>
        </w:rPr>
        <w:t>Тарифному соглашению № 1 на 2022</w:t>
      </w:r>
      <w:r w:rsidRPr="00F040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год, утвержденному решением Комиссии по разработке Тер</w:t>
      </w:r>
      <w:r w:rsidR="00D32C1E" w:rsidRPr="00F040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риториальной программы ОМС от </w:t>
      </w:r>
      <w:r w:rsidR="00BA7A1C" w:rsidRPr="00F04006">
        <w:rPr>
          <w:rFonts w:ascii="Times New Roman" w:eastAsia="Times New Roman" w:hAnsi="Times New Roman" w:cs="Times New Roman"/>
          <w:sz w:val="26"/>
          <w:szCs w:val="26"/>
          <w:lang w:eastAsia="ru-RU"/>
        </w:rPr>
        <w:t>25</w:t>
      </w:r>
      <w:r w:rsidR="00D32C1E" w:rsidRPr="00F04006">
        <w:rPr>
          <w:rFonts w:ascii="Times New Roman" w:eastAsia="Times New Roman" w:hAnsi="Times New Roman" w:cs="Times New Roman"/>
          <w:sz w:val="26"/>
          <w:szCs w:val="26"/>
          <w:lang w:eastAsia="ru-RU"/>
        </w:rPr>
        <w:t>.01.2022 г. № 0</w:t>
      </w:r>
      <w:r w:rsidR="00BA7A1C" w:rsidRPr="00F04006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D32C1E" w:rsidRPr="00F04006">
        <w:rPr>
          <w:rFonts w:ascii="Times New Roman" w:eastAsia="Times New Roman" w:hAnsi="Times New Roman" w:cs="Times New Roman"/>
          <w:sz w:val="26"/>
          <w:szCs w:val="26"/>
          <w:lang w:eastAsia="ru-RU"/>
        </w:rPr>
        <w:t>-2022</w:t>
      </w:r>
    </w:p>
    <w:p w14:paraId="22DD8830" w14:textId="497F953B" w:rsidR="00AE5A42" w:rsidRPr="00F04006" w:rsidRDefault="00AE5A42" w:rsidP="00BA7A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</w:p>
    <w:p w14:paraId="3E8CCCE1" w14:textId="77777777" w:rsidR="00BA7A1C" w:rsidRPr="00F04006" w:rsidRDefault="00BA7A1C" w:rsidP="00BA7A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4F032BDB" w14:textId="7219B142" w:rsidR="00AE5A42" w:rsidRPr="00F04006" w:rsidRDefault="000B740D" w:rsidP="000B740D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04006">
        <w:rPr>
          <w:rFonts w:ascii="Times New Roman" w:hAnsi="Times New Roman" w:cs="Times New Roman"/>
          <w:b/>
          <w:sz w:val="26"/>
          <w:szCs w:val="26"/>
        </w:rPr>
        <w:t>Перечень показателей результативности деятельности медицинских организаций, имеющих прикрепившихся лиц (включая показатели объема медицинской помощи), и критерии их оценки (включая целевые значения), а также размеры и порядок осуществления выплат медицинским организациям за достижение указанных показателей.</w:t>
      </w:r>
    </w:p>
    <w:p w14:paraId="5EB22770" w14:textId="739FD444" w:rsidR="000B740D" w:rsidRPr="00F04006" w:rsidRDefault="000B740D" w:rsidP="000B740D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59F3A13" w14:textId="2BC41726" w:rsidR="000B740D" w:rsidRPr="00F04006" w:rsidRDefault="000B740D" w:rsidP="000B740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4006">
        <w:rPr>
          <w:rFonts w:ascii="Times New Roman" w:hAnsi="Times New Roman" w:cs="Times New Roman"/>
          <w:b/>
          <w:sz w:val="24"/>
          <w:szCs w:val="24"/>
        </w:rPr>
        <w:t>1. Перечень показателей результативности деятельности медицинских организаций, имеющих прикрепившихся лиц (включая показатели объема медицинской помощи)</w:t>
      </w:r>
      <w:r w:rsidR="009446C5">
        <w:rPr>
          <w:rFonts w:ascii="Times New Roman" w:hAnsi="Times New Roman" w:cs="Times New Roman"/>
          <w:b/>
          <w:sz w:val="24"/>
          <w:szCs w:val="24"/>
        </w:rPr>
        <w:t>.</w:t>
      </w:r>
    </w:p>
    <w:p w14:paraId="53F6E97C" w14:textId="77777777" w:rsidR="000B740D" w:rsidRDefault="000B740D" w:rsidP="000B740D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</w:p>
    <w:p w14:paraId="7DF4B9C7" w14:textId="3087FECE" w:rsidR="000B740D" w:rsidRDefault="000B740D" w:rsidP="000B740D">
      <w:pPr>
        <w:pStyle w:val="ConsPlusNormal"/>
        <w:rPr>
          <w:rFonts w:ascii="Times New Roman" w:hAnsi="Times New Roman" w:cs="Times New Roman"/>
          <w:b/>
          <w:sz w:val="28"/>
        </w:rPr>
      </w:pPr>
    </w:p>
    <w:tbl>
      <w:tblPr>
        <w:tblpPr w:leftFromText="180" w:rightFromText="180" w:vertAnchor="text" w:tblpX="-617" w:tblpY="1"/>
        <w:tblOverlap w:val="never"/>
        <w:tblW w:w="10055" w:type="dxa"/>
        <w:tblLayout w:type="fixed"/>
        <w:tblLook w:val="04A0" w:firstRow="1" w:lastRow="0" w:firstColumn="1" w:lastColumn="0" w:noHBand="0" w:noVBand="1"/>
      </w:tblPr>
      <w:tblGrid>
        <w:gridCol w:w="566"/>
        <w:gridCol w:w="4669"/>
        <w:gridCol w:w="2126"/>
        <w:gridCol w:w="1843"/>
        <w:gridCol w:w="851"/>
      </w:tblGrid>
      <w:tr w:rsidR="000B740D" w:rsidRPr="000B740D" w14:paraId="1C9A0160" w14:textId="77777777" w:rsidTr="00B077F0">
        <w:trPr>
          <w:trHeight w:val="977"/>
          <w:tblHeader/>
        </w:trPr>
        <w:tc>
          <w:tcPr>
            <w:tcW w:w="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0D63C" w14:textId="77777777" w:rsidR="000B740D" w:rsidRPr="000B740D" w:rsidRDefault="000B740D" w:rsidP="000B74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46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7A119" w14:textId="77777777" w:rsidR="000B740D" w:rsidRPr="000B740D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C2C19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Предположи-</w:t>
            </w:r>
          </w:p>
          <w:p w14:paraId="6054AA20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тельный результат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6EF5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Индикаторы выполнения показателя ***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084F9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Макс. балл**</w:t>
            </w:r>
          </w:p>
        </w:tc>
      </w:tr>
      <w:tr w:rsidR="000B740D" w:rsidRPr="000B740D" w14:paraId="5C6E44D1" w14:textId="77777777" w:rsidTr="00B077F0">
        <w:trPr>
          <w:trHeight w:val="685"/>
        </w:trPr>
        <w:tc>
          <w:tcPr>
            <w:tcW w:w="920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338D33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1. Взрослое население (в возрасте 18 лет и старше)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CC8BF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</w:tr>
      <w:tr w:rsidR="000B740D" w:rsidRPr="000B740D" w14:paraId="3FC0EF7A" w14:textId="77777777" w:rsidTr="00B077F0">
        <w:trPr>
          <w:trHeight w:val="761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2E251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0B740D" w:rsidRPr="000B740D" w14:paraId="3C0F1F8B" w14:textId="77777777" w:rsidTr="00B077F0">
        <w:trPr>
          <w:trHeight w:val="624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0020B" w14:textId="77777777" w:rsidR="000B740D" w:rsidRPr="000B740D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B6152" w14:textId="77777777" w:rsidR="000B740D" w:rsidRPr="000B740D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E17442" w14:textId="4792CC66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F048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&lt; 5 % - </w:t>
            </w: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14:paraId="184FA7A4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br/>
              <w:t>0,5 балла;</w:t>
            </w:r>
          </w:p>
          <w:p w14:paraId="42DEFBDF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br/>
              <w:t>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163D0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0B740D" w14:paraId="336E6862" w14:textId="77777777" w:rsidTr="00B077F0">
        <w:trPr>
          <w:trHeight w:val="235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9F070" w14:textId="77777777" w:rsidR="000B740D" w:rsidRPr="000B740D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9C377" w14:textId="77777777" w:rsidR="000B740D" w:rsidRPr="000B740D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5C90B6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85FD9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&lt; 5 % - </w:t>
            </w: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14:paraId="50F1D77B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br/>
              <w:t>1 балл;</w:t>
            </w:r>
          </w:p>
          <w:p w14:paraId="68E466BE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br/>
              <w:t>2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677CB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0B740D" w:rsidRPr="000B740D" w14:paraId="23F84210" w14:textId="77777777" w:rsidTr="00B077F0">
        <w:trPr>
          <w:trHeight w:val="2551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755F0" w14:textId="77777777" w:rsidR="000B740D" w:rsidRPr="000B740D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8A5F8" w14:textId="77777777" w:rsidR="000B740D" w:rsidRPr="000B740D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23BD0A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7E6FA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&lt; 5 % - </w:t>
            </w: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14:paraId="4404BD17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br/>
              <w:t>0,5 балла;</w:t>
            </w:r>
          </w:p>
          <w:p w14:paraId="04D70502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br/>
              <w:t>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7D58C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0B740D" w14:paraId="0D2F8603" w14:textId="77777777" w:rsidTr="00B077F0">
        <w:trPr>
          <w:trHeight w:val="1248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B305D" w14:textId="77777777" w:rsidR="000B740D" w:rsidRPr="000B740D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B1D60" w14:textId="77777777" w:rsidR="000B740D" w:rsidRPr="000B740D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B2D18E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DFACA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&lt; 5 % - </w:t>
            </w: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14:paraId="0E2B1F28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br/>
              <w:t>0,5 балла;</w:t>
            </w:r>
          </w:p>
          <w:p w14:paraId="2756FA1B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br/>
              <w:t>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5969B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0B740D" w14:paraId="2318960F" w14:textId="77777777" w:rsidTr="00B077F0">
        <w:trPr>
          <w:trHeight w:val="239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4E26D" w14:textId="77777777" w:rsidR="000B740D" w:rsidRPr="000B740D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F586C" w14:textId="77777777" w:rsidR="000B740D" w:rsidRPr="000B740D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500591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27FD1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&lt; 5 % - </w:t>
            </w: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14:paraId="1B1E3D3C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br/>
              <w:t>0,5 балла;</w:t>
            </w:r>
          </w:p>
          <w:p w14:paraId="721FE522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br/>
              <w:t>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64E59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0B740D" w14:paraId="205C4C90" w14:textId="77777777" w:rsidTr="00B077F0">
        <w:trPr>
          <w:trHeight w:val="139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17C3E" w14:textId="77777777" w:rsidR="000B740D" w:rsidRPr="000B740D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8123E" w14:textId="77777777" w:rsidR="000B740D" w:rsidRPr="000B740D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плана вакцинации взрослых граждан по эпидемиологическим показаниям за период</w:t>
            </w:r>
            <w:r w:rsidRPr="000B74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(коронавирусная инфекция COVID-19).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F0A573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F250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100 % плана или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7B01E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0B740D" w:rsidRPr="000B740D" w14:paraId="4E074AB1" w14:textId="77777777" w:rsidTr="00B077F0">
        <w:trPr>
          <w:trHeight w:val="711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1E5BD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диспансерного наблюдения</w:t>
            </w:r>
          </w:p>
        </w:tc>
      </w:tr>
      <w:tr w:rsidR="000B740D" w:rsidRPr="000B740D" w14:paraId="55FB42AB" w14:textId="77777777" w:rsidTr="00B077F0">
        <w:trPr>
          <w:trHeight w:val="2371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949A3" w14:textId="77777777" w:rsidR="000B740D" w:rsidRPr="000B740D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AA3D2" w14:textId="77777777" w:rsidR="000B740D" w:rsidRPr="000B740D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0B6C34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FA95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Прирост &lt; 5 % -</w:t>
            </w: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0 баллов;</w:t>
            </w:r>
          </w:p>
          <w:p w14:paraId="1393EAFE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Прирост ≥ 5 % -</w:t>
            </w: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1 балл;</w:t>
            </w:r>
          </w:p>
          <w:p w14:paraId="2CAAC2FA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Прирост ≥ 10 % -</w:t>
            </w: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2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6CD35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0B740D" w:rsidRPr="000B740D" w14:paraId="4E9B8099" w14:textId="77777777" w:rsidTr="00B077F0">
        <w:trPr>
          <w:trHeight w:val="2573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980DA" w14:textId="77777777" w:rsidR="000B740D" w:rsidRPr="000B740D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0DFCB" w14:textId="77777777" w:rsidR="000B740D" w:rsidRPr="000B740D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взрослых пациентов с болезнями  системы кровообращения*,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665C37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C925B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Уменьшение &lt; 5 % - 0 баллов;</w:t>
            </w:r>
          </w:p>
          <w:p w14:paraId="7DB787DE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Уменьшение ≥ 5 % - 0,5 балла;</w:t>
            </w:r>
          </w:p>
          <w:p w14:paraId="04E4558D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Уменьшение</w:t>
            </w: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≥ 10 % - 1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2A61D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0B740D" w14:paraId="546ED215" w14:textId="77777777" w:rsidTr="00B077F0">
        <w:trPr>
          <w:trHeight w:val="205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15429" w14:textId="77777777" w:rsidR="000B740D" w:rsidRPr="000B740D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675EC" w14:textId="77777777" w:rsidR="000B740D" w:rsidRPr="000B740D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86AE16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1432E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100% плана или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B1699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0B740D" w14:paraId="4CDAE9E5" w14:textId="77777777" w:rsidTr="00B077F0">
        <w:trPr>
          <w:trHeight w:val="238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E5C0D" w14:textId="77777777" w:rsidR="000B740D" w:rsidRPr="000B740D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E3232" w14:textId="77777777" w:rsidR="000B740D" w:rsidRPr="000B740D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F868F9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01D3C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100% плана или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E352D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0B740D" w14:paraId="4AB26031" w14:textId="77777777" w:rsidTr="00B077F0">
        <w:trPr>
          <w:trHeight w:val="936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BDB46" w14:textId="77777777" w:rsidR="000B740D" w:rsidRPr="000B740D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7C12E" w14:textId="77777777" w:rsidR="000B740D" w:rsidRPr="000B740D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2AD6C0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D8A2B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100% плана или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A8EBB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0B740D" w:rsidRPr="000B740D" w14:paraId="7EFC401D" w14:textId="77777777" w:rsidTr="00B077F0">
        <w:trPr>
          <w:trHeight w:val="1248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123D9" w14:textId="77777777" w:rsidR="000B740D" w:rsidRPr="000B740D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912D2" w14:textId="77777777" w:rsidR="000B740D" w:rsidRPr="000B740D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03FE12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D514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Уменьшение &lt; 5 % - 0 баллов;</w:t>
            </w:r>
          </w:p>
          <w:p w14:paraId="72992040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Уменьшение ≥ 5 % - 0,5 балла;</w:t>
            </w:r>
          </w:p>
          <w:p w14:paraId="77773C18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br/>
              <w:t>≥ 10 % - 1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966DF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0B740D" w14:paraId="19B46612" w14:textId="77777777" w:rsidTr="00B077F0">
        <w:trPr>
          <w:trHeight w:val="2586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4A733" w14:textId="77777777" w:rsidR="000B740D" w:rsidRPr="000B740D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F2360" w14:textId="77777777" w:rsidR="000B740D" w:rsidRPr="000B740D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FCD72B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566E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Уменьшение &lt; 5 % - 0 баллов;</w:t>
            </w:r>
          </w:p>
          <w:p w14:paraId="301B6A37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Уменьшение ≥ 5 % - 1 балл;</w:t>
            </w:r>
          </w:p>
          <w:p w14:paraId="26C698EC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br/>
              <w:t>≥ 10 % - 2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56084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0B740D" w:rsidRPr="000B740D" w14:paraId="64628BE5" w14:textId="77777777" w:rsidTr="00B077F0">
        <w:trPr>
          <w:trHeight w:val="2594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C8A45" w14:textId="77777777" w:rsidR="000B740D" w:rsidRPr="000B740D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148B7" w14:textId="77777777" w:rsidR="000B740D" w:rsidRPr="000B740D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1F718B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ABE6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Уменьшение &lt; 5 % - 0 баллов;</w:t>
            </w:r>
          </w:p>
          <w:p w14:paraId="57F67E8E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Уменьшение ≥ 5 % - 0,5 балла;</w:t>
            </w:r>
          </w:p>
          <w:p w14:paraId="2661EBEC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br/>
              <w:t>≥ 10 % - 1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48A83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0B740D" w14:paraId="443193D3" w14:textId="77777777" w:rsidTr="00B077F0">
        <w:trPr>
          <w:trHeight w:val="548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DB4E5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смертности</w:t>
            </w:r>
          </w:p>
        </w:tc>
      </w:tr>
      <w:tr w:rsidR="000B740D" w:rsidRPr="000B740D" w14:paraId="19B8107F" w14:textId="77777777" w:rsidTr="00B077F0">
        <w:trPr>
          <w:trHeight w:val="624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0EF4D" w14:textId="77777777" w:rsidR="000B740D" w:rsidRPr="000B740D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93B28" w14:textId="77777777" w:rsidR="000B740D" w:rsidRPr="000B740D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Смертность прикрепленного населения в возрасте от 30 до 69 лет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8F53BB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 (среднее значение коэффициента смертности за 2019, 2020, 2021 годы)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C23D9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Увеличение показателя смертности или уменьшение</w:t>
            </w: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&lt; 2% – 0 баллов;</w:t>
            </w:r>
          </w:p>
          <w:p w14:paraId="3D47F980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</w:p>
          <w:p w14:paraId="0D3B69C9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от 2 до 5% - 1 балл;</w:t>
            </w:r>
          </w:p>
          <w:p w14:paraId="3B560608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Уменьшение от 5 до 10% - 2 балла;</w:t>
            </w:r>
          </w:p>
          <w:p w14:paraId="6E323BB8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br/>
              <w:t>≥ 10 % - 3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9E161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0B740D" w:rsidRPr="000B740D" w14:paraId="09347B1F" w14:textId="77777777" w:rsidTr="00B077F0">
        <w:trPr>
          <w:trHeight w:val="557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D8BD6" w14:textId="77777777" w:rsidR="000B740D" w:rsidRPr="000B740D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A7752" w14:textId="77777777" w:rsidR="000B740D" w:rsidRPr="000B740D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5051D0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F8E46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Уменьшение &lt; 5 % - 0 баллов;</w:t>
            </w:r>
          </w:p>
          <w:p w14:paraId="72E1FAFA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≥ 5 % - 1,5 балла; Уменьшение </w:t>
            </w: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br/>
              <w:t>≥ 10 % - 3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64A12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0B740D" w:rsidRPr="000B740D" w14:paraId="310F6DF7" w14:textId="77777777" w:rsidTr="00B077F0">
        <w:trPr>
          <w:trHeight w:val="688"/>
        </w:trPr>
        <w:tc>
          <w:tcPr>
            <w:tcW w:w="9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63FAED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740D">
              <w:rPr>
                <w:rFonts w:ascii="Calibri" w:eastAsia="Calibri" w:hAnsi="Calibri" w:cs="Times New Roman"/>
              </w:rPr>
              <w:br w:type="page"/>
            </w:r>
            <w:r w:rsidRPr="000B7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2. Детское население (от 0 до 17 лет включительно)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E2572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</w:tr>
      <w:tr w:rsidR="000B740D" w:rsidRPr="000B740D" w14:paraId="1ECBCEE7" w14:textId="77777777" w:rsidTr="00B077F0">
        <w:trPr>
          <w:trHeight w:val="709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A779F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0B740D" w:rsidRPr="000B740D" w14:paraId="01EE6A4F" w14:textId="77777777" w:rsidTr="00B077F0">
        <w:trPr>
          <w:trHeight w:val="84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D39FB" w14:textId="77777777" w:rsidR="000B740D" w:rsidRPr="000B740D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5FF4A" w14:textId="77777777" w:rsidR="000B740D" w:rsidRPr="000B740D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8FA10F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9ADC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 xml:space="preserve">100 % плана </w:t>
            </w: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или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BBEAA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0B740D" w14:paraId="28FD88C1" w14:textId="77777777" w:rsidTr="00B077F0">
        <w:trPr>
          <w:trHeight w:val="2391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1176A" w14:textId="77777777" w:rsidR="000B740D" w:rsidRPr="000B740D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C18A0" w14:textId="77777777" w:rsidR="000B740D" w:rsidRPr="000B740D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6977CE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1731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4884B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0B740D" w14:paraId="25FF8F36" w14:textId="77777777" w:rsidTr="00B077F0">
        <w:trPr>
          <w:trHeight w:val="2127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40FFC" w14:textId="77777777" w:rsidR="000B740D" w:rsidRPr="000B740D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5EF0A" w14:textId="77777777" w:rsidR="000B740D" w:rsidRPr="000B740D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005130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77055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D5B2C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0B740D" w14:paraId="24076D6A" w14:textId="77777777" w:rsidTr="00B077F0">
        <w:trPr>
          <w:trHeight w:val="196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5D791" w14:textId="77777777" w:rsidR="000B740D" w:rsidRPr="000B740D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BC46C" w14:textId="77777777" w:rsidR="000B740D" w:rsidRPr="000B740D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3B288B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3703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E31C1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0B740D" w14:paraId="411E94B1" w14:textId="77777777" w:rsidTr="00B077F0">
        <w:trPr>
          <w:trHeight w:val="211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D4D1B" w14:textId="77777777" w:rsidR="000B740D" w:rsidRPr="000B740D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D73B" w14:textId="77777777" w:rsidR="000B740D" w:rsidRPr="000B740D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E4C4C8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F808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140C4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0B740D" w:rsidRPr="000B740D" w14:paraId="480F0D13" w14:textId="77777777" w:rsidTr="00B077F0">
        <w:trPr>
          <w:trHeight w:val="2822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B1CF2" w14:textId="77777777" w:rsidR="000B740D" w:rsidRPr="000B740D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2572A" w14:textId="77777777" w:rsidR="000B740D" w:rsidRPr="000B740D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66CBA2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FCEA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9689C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0B740D" w14:paraId="29FD8F51" w14:textId="77777777" w:rsidTr="00B077F0">
        <w:trPr>
          <w:trHeight w:val="64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57B08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Оценка смертности</w:t>
            </w:r>
          </w:p>
        </w:tc>
      </w:tr>
      <w:tr w:rsidR="000B740D" w:rsidRPr="000B740D" w14:paraId="596390F2" w14:textId="77777777" w:rsidTr="00B077F0">
        <w:trPr>
          <w:trHeight w:val="2824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FCCBF" w14:textId="77777777" w:rsidR="000B740D" w:rsidRPr="000B740D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EAFAC" w14:textId="77777777" w:rsidR="000B740D" w:rsidRPr="000B740D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Смертность детей в возрасте 0 – 17 лет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765616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18CE4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Увеличение показателя смертности или уменьшение &lt; 2% – 0 баллов;</w:t>
            </w:r>
          </w:p>
          <w:p w14:paraId="7916ED40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Уменьшение от 2 до 5% - 1 балл;</w:t>
            </w:r>
          </w:p>
          <w:p w14:paraId="7F98BC10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Уменьшение от 5 до 10% - 2 балла;</w:t>
            </w:r>
          </w:p>
          <w:p w14:paraId="2173AFEB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br/>
              <w:t>≥ 10 % - 3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098D2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0B740D" w:rsidRPr="000B740D" w14:paraId="46E90C7A" w14:textId="77777777" w:rsidTr="00B077F0">
        <w:trPr>
          <w:trHeight w:val="624"/>
        </w:trPr>
        <w:tc>
          <w:tcPr>
            <w:tcW w:w="9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BC7A0A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Блок 3. Оказание акушерско-гинекологической помощи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2C193" w14:textId="77777777" w:rsidR="000B740D" w:rsidRPr="000B740D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0B740D" w:rsidRPr="000B740D" w14:paraId="44FC88C8" w14:textId="77777777" w:rsidTr="00B077F0">
        <w:trPr>
          <w:trHeight w:val="686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0899F" w14:textId="77777777" w:rsidR="000B740D" w:rsidRPr="000B740D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0B740D" w:rsidRPr="000B740D" w14:paraId="4584285B" w14:textId="77777777" w:rsidTr="00B077F0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8296A" w14:textId="77777777" w:rsidR="000B740D" w:rsidRPr="000B740D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9894B" w14:textId="77777777" w:rsidR="000B740D" w:rsidRPr="000B740D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женщин, отказавшихся от искусственного прерывания беременности, от числа женщин, прошедших доабортное консультирование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14EE84" w14:textId="77777777" w:rsidR="000B740D" w:rsidRPr="000B740D" w:rsidRDefault="000B740D" w:rsidP="000B740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показателя </w:t>
            </w: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29DA" w14:textId="77777777" w:rsidR="000B740D" w:rsidRPr="000B740D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Прирост &lt; 5 % - 0 баллов;</w:t>
            </w:r>
          </w:p>
          <w:p w14:paraId="5AC55940" w14:textId="77777777" w:rsidR="000B740D" w:rsidRPr="000B740D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Прирост ≥ 5 % - 0,5 балла;</w:t>
            </w:r>
          </w:p>
          <w:p w14:paraId="5FFDC9E9" w14:textId="77777777" w:rsidR="000B740D" w:rsidRPr="000B740D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Прирост ≥ 10 % - 1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7CB6F" w14:textId="77777777" w:rsidR="000B740D" w:rsidRPr="000B740D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0B740D" w14:paraId="73E6E8CC" w14:textId="77777777" w:rsidTr="00B077F0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D0C63" w14:textId="77777777" w:rsidR="000B740D" w:rsidRPr="000B740D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1304B" w14:textId="77777777" w:rsidR="000B740D" w:rsidRPr="000B740D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беременных женщин, вакцинированных от коронавирусной инфекции (COVID-19),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C690AC" w14:textId="77777777" w:rsidR="000B740D" w:rsidRPr="000B740D" w:rsidRDefault="000B740D" w:rsidP="000B740D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9181B" w14:textId="77777777" w:rsidR="000B740D" w:rsidRPr="000B740D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100% плана или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ECD4E" w14:textId="77777777" w:rsidR="000B740D" w:rsidRPr="000B740D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0B740D" w14:paraId="2F59D296" w14:textId="77777777" w:rsidTr="00B077F0">
        <w:trPr>
          <w:trHeight w:val="69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DD48A" w14:textId="77777777" w:rsidR="000B740D" w:rsidRPr="000B740D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AAD9" w14:textId="77777777" w:rsidR="000B740D" w:rsidRPr="000B740D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59EBEC" w14:textId="77777777" w:rsidR="000B740D" w:rsidRPr="000B740D" w:rsidRDefault="000B740D" w:rsidP="000B740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показателя </w:t>
            </w:r>
          </w:p>
          <w:p w14:paraId="25BC9335" w14:textId="77777777" w:rsidR="000B740D" w:rsidRPr="000B740D" w:rsidRDefault="000B740D" w:rsidP="000B740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за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813E5" w14:textId="77777777" w:rsidR="000B740D" w:rsidRPr="000B740D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Прирост &lt; 5 % - 0 баллов;</w:t>
            </w:r>
          </w:p>
          <w:p w14:paraId="09D02883" w14:textId="77777777" w:rsidR="000B740D" w:rsidRPr="000B740D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Прирост ≥ 5 % - 0,5 балла;</w:t>
            </w:r>
          </w:p>
          <w:p w14:paraId="11AEE7C9" w14:textId="77777777" w:rsidR="000B740D" w:rsidRPr="000B740D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Прирост ≥ 10 % - 1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EB45A" w14:textId="77777777" w:rsidR="000B740D" w:rsidRPr="000B740D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0B740D" w14:paraId="67FF916D" w14:textId="77777777" w:rsidTr="00B077F0">
        <w:trPr>
          <w:trHeight w:val="93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0A1EE" w14:textId="77777777" w:rsidR="000B740D" w:rsidRPr="000B740D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0EE57" w14:textId="77777777" w:rsidR="000B740D" w:rsidRPr="000B740D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44795E" w14:textId="77777777" w:rsidR="000B740D" w:rsidRPr="000B740D" w:rsidRDefault="000B740D" w:rsidP="000B740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C4FF" w14:textId="77777777" w:rsidR="000B740D" w:rsidRPr="000B740D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Прирост &lt; 5 % - 0 баллов;</w:t>
            </w:r>
          </w:p>
          <w:p w14:paraId="72C226CD" w14:textId="77777777" w:rsidR="000B740D" w:rsidRPr="000B740D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Прирост ≥ 5 % - 0,5 балла;</w:t>
            </w:r>
          </w:p>
          <w:p w14:paraId="1D578135" w14:textId="77777777" w:rsidR="000B740D" w:rsidRPr="000B740D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Прирост ≥ 10 % - 1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4961C" w14:textId="77777777" w:rsidR="000B740D" w:rsidRPr="000B740D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0B740D" w14:paraId="247F41E8" w14:textId="77777777" w:rsidTr="00B077F0">
        <w:trPr>
          <w:trHeight w:val="63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AF9F5" w14:textId="77777777" w:rsidR="000B740D" w:rsidRPr="000B740D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41367" w14:textId="77777777" w:rsidR="000B740D" w:rsidRPr="000B740D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F949BC" w14:textId="77777777" w:rsidR="000B740D" w:rsidRPr="000B740D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E79AD" w14:textId="77777777" w:rsidR="000B740D" w:rsidRPr="000B740D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 xml:space="preserve">100 % плана </w:t>
            </w: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br/>
              <w:t>или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ECD85" w14:textId="77777777" w:rsidR="000B740D" w:rsidRPr="000B740D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40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</w:tbl>
    <w:p w14:paraId="7EEF3467" w14:textId="77777777" w:rsidR="000B740D" w:rsidRDefault="000B740D" w:rsidP="000B740D">
      <w:pPr>
        <w:pStyle w:val="ConsPlusNormal"/>
        <w:rPr>
          <w:rFonts w:ascii="Times New Roman" w:hAnsi="Times New Roman" w:cs="Times New Roman"/>
          <w:bCs/>
          <w:sz w:val="28"/>
        </w:rPr>
      </w:pPr>
    </w:p>
    <w:p w14:paraId="2157E315" w14:textId="40F4806A" w:rsidR="000B740D" w:rsidRPr="000B740D" w:rsidRDefault="000B740D" w:rsidP="000B740D">
      <w:pPr>
        <w:pStyle w:val="ConsPlusNormal"/>
        <w:rPr>
          <w:rFonts w:ascii="Times New Roman" w:hAnsi="Times New Roman" w:cs="Times New Roman"/>
          <w:bCs/>
          <w:sz w:val="24"/>
          <w:szCs w:val="24"/>
        </w:rPr>
      </w:pPr>
      <w:r w:rsidRPr="000B740D">
        <w:rPr>
          <w:rFonts w:ascii="Times New Roman" w:hAnsi="Times New Roman" w:cs="Times New Roman"/>
          <w:bCs/>
          <w:sz w:val="24"/>
          <w:szCs w:val="24"/>
        </w:rPr>
        <w:t>* по набору кодов Международной статистической классификацией болезней и проблем, связанных со здоровьем, десятого пересмотра (МКБ-10)</w:t>
      </w:r>
    </w:p>
    <w:p w14:paraId="43AF67DB" w14:textId="77777777" w:rsidR="000B740D" w:rsidRPr="000B740D" w:rsidRDefault="000B740D" w:rsidP="000B740D">
      <w:pPr>
        <w:pStyle w:val="ConsPlusNormal"/>
        <w:rPr>
          <w:rFonts w:ascii="Times New Roman" w:hAnsi="Times New Roman" w:cs="Times New Roman"/>
          <w:bCs/>
          <w:sz w:val="24"/>
          <w:szCs w:val="24"/>
        </w:rPr>
      </w:pPr>
      <w:r w:rsidRPr="000B740D">
        <w:rPr>
          <w:rFonts w:ascii="Times New Roman" w:hAnsi="Times New Roman" w:cs="Times New Roman"/>
          <w:bCs/>
          <w:sz w:val="24"/>
          <w:szCs w:val="24"/>
        </w:rPr>
        <w:t>** по решению Комиссии рекомендуемые значения максимальных баллов и их количество могут быть пересмотрены для учреждений, которые оказывают помощь женщинам и детскому населению (отдельные юридические лица).</w:t>
      </w:r>
    </w:p>
    <w:p w14:paraId="6C46F3E2" w14:textId="6E2ECBFE" w:rsidR="000B740D" w:rsidRDefault="000B740D" w:rsidP="000B740D">
      <w:pPr>
        <w:pStyle w:val="ConsPlusNormal"/>
        <w:rPr>
          <w:rFonts w:ascii="Times New Roman" w:hAnsi="Times New Roman" w:cs="Times New Roman"/>
          <w:bCs/>
          <w:sz w:val="24"/>
          <w:szCs w:val="24"/>
        </w:rPr>
      </w:pPr>
      <w:r w:rsidRPr="000B740D">
        <w:rPr>
          <w:rFonts w:ascii="Times New Roman" w:hAnsi="Times New Roman" w:cs="Times New Roman"/>
          <w:bCs/>
          <w:sz w:val="24"/>
          <w:szCs w:val="24"/>
        </w:rPr>
        <w:t>*** выполненным считается показатель со значением 0,5 и более баллов.</w:t>
      </w:r>
    </w:p>
    <w:p w14:paraId="1454B5A1" w14:textId="5415AE24" w:rsidR="00F04006" w:rsidRDefault="00F04006" w:rsidP="000B740D">
      <w:pPr>
        <w:pStyle w:val="ConsPlusNormal"/>
        <w:rPr>
          <w:rFonts w:ascii="Times New Roman" w:hAnsi="Times New Roman" w:cs="Times New Roman"/>
          <w:bCs/>
          <w:sz w:val="24"/>
          <w:szCs w:val="24"/>
        </w:rPr>
      </w:pPr>
    </w:p>
    <w:p w14:paraId="5EC67D15" w14:textId="77777777" w:rsidR="00F04006" w:rsidRDefault="00F04006" w:rsidP="000B740D">
      <w:pPr>
        <w:pStyle w:val="ConsPlusNormal"/>
        <w:rPr>
          <w:rFonts w:ascii="Times New Roman" w:hAnsi="Times New Roman" w:cs="Times New Roman"/>
          <w:bCs/>
          <w:sz w:val="24"/>
          <w:szCs w:val="24"/>
        </w:rPr>
      </w:pPr>
    </w:p>
    <w:p w14:paraId="7ABF911F" w14:textId="7020BFCC" w:rsidR="00F04006" w:rsidRDefault="00F04006" w:rsidP="00F0400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4006">
        <w:rPr>
          <w:rFonts w:ascii="Times New Roman" w:hAnsi="Times New Roman" w:cs="Times New Roman"/>
          <w:b/>
          <w:sz w:val="24"/>
          <w:szCs w:val="24"/>
        </w:rPr>
        <w:lastRenderedPageBreak/>
        <w:t>2. Размеры и порядок осуществления выплат медицинским организациям за достижение указанных показателей.</w:t>
      </w:r>
    </w:p>
    <w:p w14:paraId="38F9A743" w14:textId="5C927ED8" w:rsidR="008D0E89" w:rsidRDefault="008D0E89" w:rsidP="008D0E89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14:paraId="1656F893" w14:textId="138FFBA6" w:rsidR="003D6DE5" w:rsidRPr="003D6DE5" w:rsidRDefault="003D6DE5" w:rsidP="003D6DE5">
      <w:pPr>
        <w:widowControl w:val="0"/>
        <w:autoSpaceDE w:val="0"/>
        <w:autoSpaceDN w:val="0"/>
        <w:spacing w:after="0" w:line="36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102902901"/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оплате медицинской помощи по подушевому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биопсийного (операционного) материала, тестирования на выявление новой коронавирусной инфекции (COVID – 19), углубленной диспансеризации, а также средств на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 в составе средств, направляемых на финансовое обеспечение медицинской организации, имеющей прикрепившихся лиц, по подушевому нормативу финансирования, определяется доля средств, направляемых на выплаты медицинским организациям в случае достижения ими значений показателей результативности деятельности согласно бальной оценке в размере 5 процентов от базового подушевого норматива финансирования на прикрепившихся лиц.</w:t>
      </w:r>
    </w:p>
    <w:p w14:paraId="218ADC8C" w14:textId="7D4A9032" w:rsidR="003D6DE5" w:rsidRPr="003D6DE5" w:rsidRDefault="003D6DE5" w:rsidP="003D6DE5">
      <w:pPr>
        <w:widowControl w:val="0"/>
        <w:autoSpaceDE w:val="0"/>
        <w:autoSpaceDN w:val="0"/>
        <w:spacing w:before="120" w:after="0" w:line="36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размер финансового обеспечения медицинской помощи, оказанной медицинской организацией, имеющей прикрепившихся лиц, по подушевому нормативу финансирования определяется по следующей формуле:</w:t>
      </w:r>
    </w:p>
    <w:p w14:paraId="673BA2BA" w14:textId="77777777" w:rsidR="003D6DE5" w:rsidRPr="003D6DE5" w:rsidRDefault="00055597" w:rsidP="003D6D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ПН</m:t>
            </m:r>
          </m:sub>
        </m:sSub>
        <m:r>
          <w:rPr>
            <w:rFonts w:ascii="Cambria Math" w:eastAsia="Calibri" w:hAnsi="Cambria Math" w:cs="Times New Roman"/>
            <w:sz w:val="24"/>
            <w:szCs w:val="24"/>
          </w:rPr>
          <m:t>=</m:t>
        </m:r>
        <m:sSubSup>
          <m:sSub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ФДП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Н</m:t>
            </m:r>
          </m:sub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p>
        </m:sSubSup>
        <m:r>
          <w:rPr>
            <w:rFonts w:ascii="Cambria Math" w:eastAsia="Calibri" w:hAnsi="Cambria Math" w:cs="Times New Roman"/>
            <w:sz w:val="24"/>
            <w:szCs w:val="24"/>
          </w:rPr>
          <m:t>×</m:t>
        </m:r>
        <m:sSubSup>
          <m:sSub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Ч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З</m:t>
            </m:r>
          </m:sub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p>
        </m:sSubSup>
        <m:r>
          <w:rPr>
            <w:rFonts w:ascii="Cambria Math" w:eastAsia="Calibri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РД</m:t>
            </m:r>
          </m:sub>
        </m:sSub>
      </m:oMath>
      <w:r w:rsidR="003D6DE5"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14:paraId="75DE986D" w14:textId="77777777" w:rsidR="003D6DE5" w:rsidRPr="003D6DE5" w:rsidRDefault="003D6DE5" w:rsidP="003D6DE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tbl>
      <w:tblPr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769"/>
      </w:tblGrid>
      <w:tr w:rsidR="003D6DE5" w:rsidRPr="003D6DE5" w14:paraId="4F37022E" w14:textId="77777777" w:rsidTr="00B077F0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78A8C26" w14:textId="77777777" w:rsidR="003D6DE5" w:rsidRPr="003D6DE5" w:rsidRDefault="003D6DE5" w:rsidP="003D6D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</w:t>
            </w:r>
            <w:r w:rsidRPr="003D6DE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ПН</w:t>
            </w:r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192F8611" w14:textId="77777777" w:rsidR="003D6DE5" w:rsidRPr="003D6DE5" w:rsidRDefault="003D6DE5" w:rsidP="003D6D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медицинской помощи, оказанной медицинской организацией, имеющей прикрепившихся лиц, </w:t>
            </w:r>
            <w:r w:rsidRPr="003D6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подушевому нормативу финансирования, рублей;</w:t>
            </w:r>
          </w:p>
        </w:tc>
      </w:tr>
      <w:tr w:rsidR="003D6DE5" w:rsidRPr="003D6DE5" w14:paraId="083D2F6C" w14:textId="77777777" w:rsidTr="00B077F0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C5B8DE8" w14:textId="77777777" w:rsidR="003D6DE5" w:rsidRPr="003D6DE5" w:rsidRDefault="003D6DE5" w:rsidP="003D6D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</w:t>
            </w:r>
            <w:r w:rsidRPr="003D6DE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РД</w:t>
            </w:r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2F5FC60A" w14:textId="77777777" w:rsidR="003D6DE5" w:rsidRPr="003D6DE5" w:rsidRDefault="003D6DE5" w:rsidP="003D6D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средств, направляемых медицинским организациям </w:t>
            </w:r>
            <w:r w:rsidRPr="003D6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случае достижения ими значений показателей результативности деятельности согласно бальной оценке (далее – объем средств с учетом показателей результативности), рублей.</w:t>
            </w:r>
          </w:p>
        </w:tc>
      </w:tr>
      <w:tr w:rsidR="003D6DE5" w:rsidRPr="003D6DE5" w14:paraId="514097E0" w14:textId="77777777" w:rsidTr="00B077F0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E510825" w14:textId="77777777" w:rsidR="003D6DE5" w:rsidRPr="003D6DE5" w:rsidRDefault="00055597" w:rsidP="003D6D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ФДП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Н</m:t>
                    </m:r>
                  </m:sub>
                  <m:sup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75B238F9" w14:textId="77777777" w:rsidR="003D6DE5" w:rsidRPr="003D6DE5" w:rsidRDefault="003D6DE5" w:rsidP="003D6D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фактический дифференцированный подушевой норматив финансирования амбулаторной медицинской помощи </w:t>
            </w:r>
            <w:r w:rsidRPr="003D6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для i-той медицинской организации, рублей.</w:t>
            </w:r>
          </w:p>
        </w:tc>
      </w:tr>
    </w:tbl>
    <w:p w14:paraId="360F4A1C" w14:textId="77777777" w:rsidR="003D6DE5" w:rsidRPr="003D6DE5" w:rsidRDefault="003D6DE5" w:rsidP="003D6DE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9AF6EE" w14:textId="78330DEC" w:rsidR="003D6DE5" w:rsidRPr="003D6DE5" w:rsidRDefault="003D6DE5" w:rsidP="003D6DE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Мониторинг достижения значений показателей результативности деятельности по каждой медицинской организации и ранжирование медицинских организаций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Чукотском автономном округе</w:t>
      </w:r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Комиссией, частота проведения мониторинга раз в квартал.</w:t>
      </w:r>
    </w:p>
    <w:p w14:paraId="6AFFCB5F" w14:textId="258869AB" w:rsidR="003D6DE5" w:rsidRPr="003D6DE5" w:rsidRDefault="003D6DE5" w:rsidP="003D6DE5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Осуществление </w:t>
      </w:r>
      <w:bookmarkStart w:id="2" w:name="_Hlk102901796"/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выплат по результатам оценки достижения медицинскими организациями, оказывающими медицинскую помощь в амбулаторных условиях, значений показателей результативности деятельности</w:t>
      </w:r>
      <w:bookmarkEnd w:id="2"/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производит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итогам каждого полугодия.</w:t>
      </w:r>
    </w:p>
    <w:p w14:paraId="3CB856C8" w14:textId="308ACE84" w:rsidR="003D6DE5" w:rsidRDefault="003D6DE5" w:rsidP="00CC010D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еречень показателей результативности деятельности медицинских организаций (далее – показатели результативности деятельности)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овлен в настоящем приложении к</w:t>
      </w:r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Тарифн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соглашени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ю.</w:t>
      </w:r>
    </w:p>
    <w:p w14:paraId="0637F123" w14:textId="50F9AA46" w:rsidR="003D6DE5" w:rsidRPr="003D6DE5" w:rsidRDefault="00C13741" w:rsidP="003D6DE5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3D6DE5"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етодика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установленная в настоящем приложении к Тарифному соглашению </w:t>
      </w:r>
      <w:r w:rsidR="003D6DE5"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включает разделение показателей на блоки, отражающих результативность оказания медицинской </w:t>
      </w:r>
      <w:r w:rsidR="003D6DE5"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помощи разным категориям населения (взрослому населению, детскому населению, акушерско-гинекологической помощи) в амбулаторных условиях.</w:t>
      </w:r>
    </w:p>
    <w:p w14:paraId="724212C3" w14:textId="688A45AF" w:rsidR="00C13741" w:rsidRPr="003D6DE5" w:rsidRDefault="003D6DE5" w:rsidP="00C1374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когда группа показателей результативности одного из блоков неприменима для конкретной медицинской организации и (или) отчетного периода, суммарный максимальный балл и итоговый коэффициент для соответствующей медицинской организации могут рассчитываться без учета этой группы показателей.</w:t>
      </w:r>
    </w:p>
    <w:p w14:paraId="6127A59F" w14:textId="7A8C0434" w:rsidR="003D6DE5" w:rsidRPr="003D6DE5" w:rsidRDefault="003D6DE5" w:rsidP="003D6DE5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показатель, включенный в </w:t>
      </w:r>
      <w:r w:rsidR="00C13741" w:rsidRPr="00C137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показатели результативности деятельности </w:t>
      </w:r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в баллах, которые суммируются. Методикой предусмотрена максимально возможная сумма баллов по каждому блоку, которая составляет:</w:t>
      </w:r>
    </w:p>
    <w:p w14:paraId="4909A39F" w14:textId="77777777" w:rsidR="003D6DE5" w:rsidRPr="003D6DE5" w:rsidRDefault="003D6DE5" w:rsidP="003D6DE5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>- 25 баллов для показателей блока 1;</w:t>
      </w:r>
    </w:p>
    <w:p w14:paraId="11D6E2F5" w14:textId="77777777" w:rsidR="003D6DE5" w:rsidRPr="003D6DE5" w:rsidRDefault="003D6DE5" w:rsidP="003D6DE5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>- 10 баллов для показателей блока 2;</w:t>
      </w:r>
    </w:p>
    <w:p w14:paraId="7BCD7C76" w14:textId="77777777" w:rsidR="003D6DE5" w:rsidRPr="003D6DE5" w:rsidRDefault="003D6DE5" w:rsidP="003D6DE5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>- 6 баллов для показателей блока 3.</w:t>
      </w:r>
    </w:p>
    <w:p w14:paraId="152CA232" w14:textId="4253D7BE" w:rsidR="003D6DE5" w:rsidRPr="003D6DE5" w:rsidRDefault="003D6DE5" w:rsidP="003D6DE5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зависимости от результатов деятельности медицинской организации по каждому показателю определяется балл в диапазоне от 0 до 3 баллов.</w:t>
      </w:r>
    </w:p>
    <w:p w14:paraId="6C571E38" w14:textId="375F26C0" w:rsidR="003D6DE5" w:rsidRPr="003D6DE5" w:rsidRDefault="003D6DE5" w:rsidP="003D6DE5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фактического выполнения показателей, медицинск</w:t>
      </w:r>
      <w:r w:rsidR="00C13741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</w:t>
      </w:r>
      <w:r w:rsidR="00C13741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3741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следующим образом</w:t>
      </w:r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3D6DE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выполнивш</w:t>
      </w:r>
      <w:r w:rsidR="00C13741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50 процентов показателей, </w:t>
      </w:r>
      <w:r w:rsidRPr="003D6DE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от 50 до 70 процентов показателей, </w:t>
      </w:r>
      <w:r w:rsidRPr="003D6DE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свыше 70 процентов показателей. </w:t>
      </w:r>
    </w:p>
    <w:p w14:paraId="652F442D" w14:textId="3DD2217B" w:rsidR="003D6DE5" w:rsidRPr="003D6DE5" w:rsidRDefault="003D6DE5" w:rsidP="003D6DE5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достижения значений показателей результативности деятельности медицинских организаций оформляется решением Комиссии, которое доводится до сведения медицинских организаций не позднее 25 числа месяца, следующего за отчетным периодом. </w:t>
      </w:r>
    </w:p>
    <w:p w14:paraId="615759AC" w14:textId="77777777" w:rsidR="003D6DE5" w:rsidRPr="003D6DE5" w:rsidRDefault="003D6DE5" w:rsidP="003D6DE5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</w:t>
      </w:r>
    </w:p>
    <w:p w14:paraId="6F1807D4" w14:textId="577DC1EE" w:rsidR="003D6DE5" w:rsidRPr="003D6DE5" w:rsidRDefault="003D6DE5" w:rsidP="003D6DE5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D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часть</w:t>
      </w:r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распределение 70 процентов от объема средств с учетом показателей результативности за соответствующий период.</w:t>
      </w:r>
    </w:p>
    <w:p w14:paraId="07F142E2" w14:textId="6E8368AE" w:rsidR="003D6DE5" w:rsidRPr="003D6DE5" w:rsidRDefault="003D6DE5" w:rsidP="003D6DE5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средства распределя</w:t>
      </w:r>
      <w:r w:rsidR="008767D1" w:rsidRPr="00BB2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ется </w:t>
      </w:r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</w:t>
      </w:r>
      <w:r w:rsidR="008F78F1" w:rsidRPr="00BB205C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</w:t>
      </w:r>
      <w:r w:rsidR="008F78F1" w:rsidRPr="00BB205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67D1" w:rsidRPr="00BB2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достижении результата </w:t>
      </w:r>
      <w:r w:rsidRPr="003D6DE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 численности прикрепленного населения.</w:t>
      </w:r>
    </w:p>
    <w:p w14:paraId="4D9F9D1C" w14:textId="77777777" w:rsidR="003D6DE5" w:rsidRPr="003D6DE5" w:rsidRDefault="003D6DE5" w:rsidP="003D6DE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5B202C" w14:textId="77777777" w:rsidR="003D6DE5" w:rsidRPr="003D6DE5" w:rsidRDefault="00055597" w:rsidP="003D6D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0,7×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Числ</m:t>
                </m:r>
              </m:e>
            </m:nary>
          </m:den>
        </m:f>
      </m:oMath>
      <w:r w:rsidR="003D6DE5"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14:paraId="65EE327D" w14:textId="77777777" w:rsidR="003D6DE5" w:rsidRPr="003D6DE5" w:rsidRDefault="003D6DE5" w:rsidP="003D6DE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14:paraId="7E13E502" w14:textId="7F6824F8" w:rsidR="003D6DE5" w:rsidRPr="003D6DE5" w:rsidRDefault="00055597" w:rsidP="003D6DE5">
      <w:pPr>
        <w:widowControl w:val="0"/>
        <w:autoSpaceDE w:val="0"/>
        <w:autoSpaceDN w:val="0"/>
        <w:spacing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   </m:t>
        </m:r>
      </m:oMath>
      <w:r w:rsidR="003D6DE5"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средств, используемый при распределении </w:t>
      </w:r>
      <w:r w:rsidR="003D6DE5"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70 процентов от объема средств на стимулирование медицинск</w:t>
      </w:r>
      <w:r w:rsidR="008767D1" w:rsidRPr="00BB205C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3D6DE5"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организаций за </w:t>
      </w:r>
      <w:r w:rsidR="003D6DE5" w:rsidRPr="003D6DE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</w:t>
      </w:r>
      <w:r w:rsidR="003D6DE5"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>-ый период, в расчете на 1 прикрепленное лицо, рублей;</w:t>
      </w:r>
    </w:p>
    <w:p w14:paraId="5C458ABD" w14:textId="4DFC6385" w:rsidR="003D6DE5" w:rsidRPr="003D6DE5" w:rsidRDefault="00055597" w:rsidP="003D6DE5">
      <w:pPr>
        <w:widowControl w:val="0"/>
        <w:autoSpaceDE w:val="0"/>
        <w:autoSpaceDN w:val="0"/>
        <w:spacing w:before="120"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j</m:t>
            </m:r>
          </m:sup>
        </m:sSubSup>
      </m:oMath>
      <w:r w:rsidR="003D6DE5"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совокупный объем средств на стимулирование медицинск</w:t>
      </w:r>
      <w:r w:rsidR="008767D1" w:rsidRPr="00BB205C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3D6DE5"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организаций за </w:t>
      </w:r>
      <w:r w:rsidR="003D6DE5" w:rsidRPr="003D6DE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</w:t>
      </w:r>
      <w:r w:rsidR="003D6DE5"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>-ый период, рублей;</w:t>
      </w:r>
    </w:p>
    <w:p w14:paraId="72E86F2A" w14:textId="658C323F" w:rsidR="003D6DE5" w:rsidRPr="003D6DE5" w:rsidRDefault="00055597" w:rsidP="003D6DE5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Числ</m:t>
            </m:r>
          </m:e>
        </m:nary>
      </m:oMath>
      <w:r w:rsidR="003D6DE5"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численность прикрепленного населения в </w:t>
      </w:r>
      <w:r w:rsidR="003D6DE5" w:rsidRPr="003D6DE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</w:t>
      </w:r>
      <w:r w:rsidR="003D6DE5"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 периоде </w:t>
      </w:r>
      <w:r w:rsidR="008767D1" w:rsidRPr="00BB2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3D6DE5"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</w:t>
      </w:r>
      <w:r w:rsidR="008767D1" w:rsidRPr="00BB205C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3D6DE5"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</w:t>
      </w:r>
      <w:r w:rsidR="008767D1" w:rsidRPr="00BB205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D6DE5"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67D1" w:rsidRPr="00BB2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выполнившей показатели по результату </w:t>
      </w:r>
      <w:r w:rsidR="003D6DE5" w:rsidRPr="003D6DE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="003D6DE5"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0ECC81D" w14:textId="3A7CE442" w:rsidR="003D6DE5" w:rsidRPr="00BB205C" w:rsidRDefault="003D6DE5" w:rsidP="008767D1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6DE5">
        <w:rPr>
          <w:rFonts w:ascii="Times New Roman" w:eastAsia="Calibri" w:hAnsi="Times New Roman" w:cs="Times New Roman"/>
          <w:sz w:val="24"/>
          <w:szCs w:val="24"/>
        </w:rPr>
        <w:t>В качестве численности прикрепленного населения к конкретной медицинской организации использ</w:t>
      </w:r>
      <w:r w:rsidR="008767D1" w:rsidRPr="00BB205C">
        <w:rPr>
          <w:rFonts w:ascii="Times New Roman" w:eastAsia="Calibri" w:hAnsi="Times New Roman" w:cs="Times New Roman"/>
          <w:sz w:val="24"/>
          <w:szCs w:val="24"/>
        </w:rPr>
        <w:t>уется</w:t>
      </w:r>
      <w:r w:rsidRPr="003D6DE5">
        <w:rPr>
          <w:rFonts w:ascii="Times New Roman" w:eastAsia="Calibri" w:hAnsi="Times New Roman" w:cs="Times New Roman"/>
          <w:sz w:val="24"/>
          <w:szCs w:val="24"/>
        </w:rPr>
        <w:t xml:space="preserve"> средн</w:t>
      </w:r>
      <w:r w:rsidR="008767D1" w:rsidRPr="00BB205C">
        <w:rPr>
          <w:rFonts w:ascii="Times New Roman" w:eastAsia="Calibri" w:hAnsi="Times New Roman" w:cs="Times New Roman"/>
          <w:sz w:val="24"/>
          <w:szCs w:val="24"/>
        </w:rPr>
        <w:t>яя</w:t>
      </w:r>
      <w:r w:rsidRPr="003D6DE5">
        <w:rPr>
          <w:rFonts w:ascii="Times New Roman" w:eastAsia="Calibri" w:hAnsi="Times New Roman" w:cs="Times New Roman"/>
          <w:sz w:val="24"/>
          <w:szCs w:val="24"/>
        </w:rPr>
        <w:t xml:space="preserve"> численность за период. </w:t>
      </w:r>
    </w:p>
    <w:p w14:paraId="09323578" w14:textId="46154E7D" w:rsidR="008F78F1" w:rsidRPr="008F78F1" w:rsidRDefault="008F78F1" w:rsidP="008F78F1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78F1">
        <w:rPr>
          <w:rFonts w:ascii="Times New Roman" w:eastAsia="Times New Roman" w:hAnsi="Times New Roman" w:cs="Times New Roman"/>
          <w:sz w:val="24"/>
          <w:szCs w:val="24"/>
        </w:rPr>
        <w:t xml:space="preserve">Объем средств, направляемый в </w:t>
      </w:r>
      <w:r w:rsidRPr="008F78F1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8F78F1">
        <w:rPr>
          <w:rFonts w:ascii="Times New Roman" w:eastAsia="Times New Roman" w:hAnsi="Times New Roman" w:cs="Times New Roman"/>
          <w:sz w:val="24"/>
          <w:szCs w:val="24"/>
        </w:rPr>
        <w:t xml:space="preserve">-ю медицинскую организацию </w:t>
      </w:r>
      <w:r w:rsidRPr="00BB205C">
        <w:rPr>
          <w:rFonts w:ascii="Times New Roman" w:eastAsia="Times New Roman" w:hAnsi="Times New Roman" w:cs="Times New Roman"/>
          <w:sz w:val="24"/>
          <w:szCs w:val="24"/>
        </w:rPr>
        <w:t xml:space="preserve">при достижении результата </w:t>
      </w:r>
      <w:r w:rsidRPr="008F78F1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BB20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78F1">
        <w:rPr>
          <w:rFonts w:ascii="Times New Roman" w:eastAsia="Times New Roman" w:hAnsi="Times New Roman" w:cs="Times New Roman"/>
          <w:sz w:val="24"/>
          <w:szCs w:val="24"/>
        </w:rPr>
        <w:t xml:space="preserve">за </w:t>
      </w:r>
      <w:r w:rsidRPr="008F78F1">
        <w:rPr>
          <w:rFonts w:ascii="Times New Roman" w:eastAsia="Times New Roman" w:hAnsi="Times New Roman" w:cs="Times New Roman"/>
          <w:sz w:val="24"/>
          <w:szCs w:val="24"/>
          <w:lang w:val="en-US"/>
        </w:rPr>
        <w:t>j</w:t>
      </w:r>
      <w:r w:rsidRPr="008F78F1">
        <w:rPr>
          <w:rFonts w:ascii="Times New Roman" w:eastAsia="Times New Roman" w:hAnsi="Times New Roman" w:cs="Times New Roman"/>
          <w:sz w:val="24"/>
          <w:szCs w:val="24"/>
        </w:rPr>
        <w:t xml:space="preserve">-тый период при распределении 70 процентов от объема средств </w:t>
      </w:r>
      <w:r w:rsidRPr="008F78F1">
        <w:rPr>
          <w:rFonts w:ascii="Times New Roman" w:eastAsia="Times New Roman" w:hAnsi="Times New Roman" w:cs="Times New Roman"/>
          <w:sz w:val="24"/>
          <w:szCs w:val="24"/>
        </w:rPr>
        <w:br/>
        <w:t>с учетом показателей результативности (</w:t>
      </w: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Sup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РД(нас)</m:t>
                </m:r>
              </m:sub>
            </m:sSub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j</m:t>
            </m:r>
          </m:sup>
        </m:sSubSup>
      </m:oMath>
      <w:r w:rsidRPr="008F78F1">
        <w:rPr>
          <w:rFonts w:ascii="Times New Roman" w:eastAsia="Times New Roman" w:hAnsi="Times New Roman" w:cs="Times New Roman"/>
          <w:sz w:val="24"/>
          <w:szCs w:val="24"/>
        </w:rPr>
        <w:t>), рассчитывается следующим образом:</w:t>
      </w:r>
    </w:p>
    <w:p w14:paraId="6639F1CA" w14:textId="28770BBB" w:rsidR="008F78F1" w:rsidRPr="008F78F1" w:rsidRDefault="00055597" w:rsidP="008F78F1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Sup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РД(нас)</m:t>
                </m:r>
              </m:sub>
            </m:sSub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4"/>
            <w:szCs w:val="24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4"/>
            <w:szCs w:val="24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Числ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j</m:t>
            </m:r>
          </m:sup>
        </m:sSubSup>
      </m:oMath>
      <w:r w:rsidR="008F78F1" w:rsidRPr="008F78F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14:paraId="57FDD13C" w14:textId="77777777" w:rsidR="008F78F1" w:rsidRPr="008F78F1" w:rsidRDefault="008F78F1" w:rsidP="008F78F1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78F1">
        <w:rPr>
          <w:rFonts w:ascii="Times New Roman" w:eastAsia="Times New Roman" w:hAnsi="Times New Roman" w:cs="Times New Roman"/>
          <w:sz w:val="24"/>
          <w:szCs w:val="24"/>
        </w:rPr>
        <w:t>где</w:t>
      </w:r>
    </w:p>
    <w:p w14:paraId="3F50D87E" w14:textId="49AFEADC" w:rsidR="008F78F1" w:rsidRPr="008F78F1" w:rsidRDefault="00055597" w:rsidP="008F78F1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Числ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j</m:t>
            </m:r>
          </m:sup>
        </m:sSubSup>
      </m:oMath>
      <w:r w:rsidR="008F78F1" w:rsidRPr="008F78F1">
        <w:rPr>
          <w:rFonts w:ascii="Times New Roman" w:eastAsia="Times New Roman" w:hAnsi="Times New Roman" w:cs="Times New Roman"/>
          <w:sz w:val="24"/>
          <w:szCs w:val="24"/>
        </w:rPr>
        <w:t xml:space="preserve">– численность прикрепленного населения в </w:t>
      </w:r>
      <w:r w:rsidR="008F78F1" w:rsidRPr="008F78F1">
        <w:rPr>
          <w:rFonts w:ascii="Times New Roman" w:eastAsia="Times New Roman" w:hAnsi="Times New Roman" w:cs="Times New Roman"/>
          <w:sz w:val="24"/>
          <w:szCs w:val="24"/>
          <w:lang w:val="en-US"/>
        </w:rPr>
        <w:t>j</w:t>
      </w:r>
      <w:r w:rsidR="008F78F1" w:rsidRPr="008F78F1">
        <w:rPr>
          <w:rFonts w:ascii="Times New Roman" w:eastAsia="Times New Roman" w:hAnsi="Times New Roman" w:cs="Times New Roman"/>
          <w:sz w:val="24"/>
          <w:szCs w:val="24"/>
        </w:rPr>
        <w:t xml:space="preserve">-м периоде </w:t>
      </w:r>
      <w:r w:rsidR="008F78F1" w:rsidRPr="008F78F1">
        <w:rPr>
          <w:rFonts w:ascii="Times New Roman" w:eastAsia="Times New Roman" w:hAnsi="Times New Roman" w:cs="Times New Roman"/>
          <w:sz w:val="24"/>
          <w:szCs w:val="24"/>
        </w:rPr>
        <w:br/>
        <w:t xml:space="preserve">к </w:t>
      </w:r>
      <w:r w:rsidR="008F78F1" w:rsidRPr="008F78F1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="008F78F1" w:rsidRPr="008F78F1">
        <w:rPr>
          <w:rFonts w:ascii="Times New Roman" w:eastAsia="Times New Roman" w:hAnsi="Times New Roman" w:cs="Times New Roman"/>
          <w:sz w:val="24"/>
          <w:szCs w:val="24"/>
        </w:rPr>
        <w:t>-той медицинской организации</w:t>
      </w:r>
      <w:r w:rsidR="008F78F1" w:rsidRPr="00BB205C">
        <w:rPr>
          <w:rFonts w:ascii="Times New Roman" w:eastAsia="Times New Roman" w:hAnsi="Times New Roman" w:cs="Times New Roman"/>
          <w:sz w:val="24"/>
          <w:szCs w:val="24"/>
        </w:rPr>
        <w:t>,</w:t>
      </w:r>
      <w:r w:rsidR="008F78F1" w:rsidRPr="008F7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F78F1" w:rsidRPr="00BB205C">
        <w:rPr>
          <w:rFonts w:ascii="Times New Roman" w:eastAsia="Times New Roman" w:hAnsi="Times New Roman" w:cs="Times New Roman"/>
          <w:sz w:val="24"/>
          <w:szCs w:val="24"/>
        </w:rPr>
        <w:t xml:space="preserve">выполнившей </w:t>
      </w:r>
      <w:r w:rsidR="00BB205C" w:rsidRPr="00BB205C">
        <w:rPr>
          <w:rFonts w:ascii="Times New Roman" w:eastAsia="Times New Roman" w:hAnsi="Times New Roman" w:cs="Times New Roman"/>
          <w:sz w:val="24"/>
          <w:szCs w:val="24"/>
        </w:rPr>
        <w:t xml:space="preserve">достижение показателей по </w:t>
      </w:r>
      <w:r w:rsidR="00BB205C" w:rsidRPr="005C44D8">
        <w:rPr>
          <w:rFonts w:ascii="Times New Roman" w:eastAsia="Times New Roman" w:hAnsi="Times New Roman" w:cs="Times New Roman"/>
          <w:sz w:val="24"/>
          <w:szCs w:val="24"/>
        </w:rPr>
        <w:t xml:space="preserve">результату </w:t>
      </w:r>
      <w:r w:rsidR="008F78F1" w:rsidRPr="005C44D8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="008F78F1" w:rsidRPr="005C44D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44D85C0" w14:textId="77777777" w:rsidR="008F78F1" w:rsidRPr="003D6DE5" w:rsidRDefault="008F78F1" w:rsidP="008767D1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637CDF4F" w14:textId="05F0370D" w:rsidR="003D6DE5" w:rsidRPr="003D6DE5" w:rsidRDefault="003D6DE5" w:rsidP="003D6DE5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D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часть</w:t>
      </w:r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распределение</w:t>
      </w:r>
      <w:r w:rsidR="008767D1" w:rsidRPr="00551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>30 процентов от объема средств с учетом показателей результативности за соответствующей период.</w:t>
      </w:r>
    </w:p>
    <w:p w14:paraId="488FB8EF" w14:textId="5F03128D" w:rsidR="003D6DE5" w:rsidRPr="003D6DE5" w:rsidRDefault="003D6DE5" w:rsidP="008F78F1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Указанные средства </w:t>
      </w:r>
      <w:r w:rsidR="008F78F1" w:rsidRPr="00551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распределяются дополнительно для медицинской организации при достижении результата </w:t>
      </w:r>
      <w:r w:rsidRPr="003D6DE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 абсолютного количества набранных соответствующ</w:t>
      </w:r>
      <w:r w:rsidR="008F78F1" w:rsidRPr="005512EC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медицинск</w:t>
      </w:r>
      <w:r w:rsidR="008F78F1" w:rsidRPr="005512EC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</w:t>
      </w:r>
      <w:r w:rsidR="008F78F1" w:rsidRPr="005512E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14:paraId="4CB67D7E" w14:textId="77777777" w:rsidR="003D6DE5" w:rsidRPr="003D6DE5" w:rsidRDefault="003D6DE5" w:rsidP="003D6DE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F92E5B" w14:textId="77777777" w:rsidR="003D6DE5" w:rsidRPr="003D6DE5" w:rsidRDefault="00055597" w:rsidP="003D6D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0,3×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Балл</m:t>
                </m:r>
              </m:e>
            </m:nary>
          </m:den>
        </m:f>
      </m:oMath>
      <w:r w:rsidR="003D6DE5"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14:paraId="65741BE5" w14:textId="77777777" w:rsidR="003D6DE5" w:rsidRPr="003D6DE5" w:rsidRDefault="003D6DE5" w:rsidP="003D6DE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14:paraId="325EFAEE" w14:textId="7D8BA369" w:rsidR="003D6DE5" w:rsidRPr="003D6DE5" w:rsidRDefault="00055597" w:rsidP="003D6DE5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j</m:t>
            </m:r>
          </m:sup>
        </m:sSubSup>
      </m:oMath>
      <w:r w:rsidR="003D6DE5"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объем средств, используемый при распределении 30 процентов от объема средств на стимулирование медицинск</w:t>
      </w:r>
      <w:r w:rsidR="008F78F1" w:rsidRPr="005512EC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3D6DE5"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организаций за </w:t>
      </w:r>
      <w:r w:rsidR="003D6DE5" w:rsidRPr="003D6DE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</w:t>
      </w:r>
      <w:r w:rsidR="003D6DE5"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>-ый период, в расчете на 1 балл, рублей;</w:t>
      </w:r>
    </w:p>
    <w:p w14:paraId="00CD5508" w14:textId="5A222F3B" w:rsidR="003D6DE5" w:rsidRPr="003D6DE5" w:rsidRDefault="00055597" w:rsidP="003D6DE5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j</m:t>
            </m:r>
          </m:sup>
        </m:sSubSup>
      </m:oMath>
      <w:r w:rsidR="003D6DE5"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совокупный объем средств на стимулирование медицинск</w:t>
      </w:r>
      <w:r w:rsidR="008F78F1" w:rsidRPr="005512EC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3D6DE5"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</w:t>
      </w:r>
      <w:r w:rsidR="008F78F1" w:rsidRPr="005512E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D6DE5"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3D6DE5" w:rsidRPr="003D6DE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</w:t>
      </w:r>
      <w:r w:rsidR="003D6DE5"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>-ый период, рублей;</w:t>
      </w:r>
    </w:p>
    <w:p w14:paraId="6043BBD7" w14:textId="4C58DED7" w:rsidR="003D6DE5" w:rsidRPr="003D6DE5" w:rsidRDefault="00055597" w:rsidP="003D6DE5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Балл</m:t>
            </m:r>
          </m:e>
        </m:nary>
      </m:oMath>
      <w:r w:rsidR="003D6DE5"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количество  баллов, набранн</w:t>
      </w:r>
      <w:r w:rsidR="008F78F1" w:rsidRPr="005512EC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3D6DE5"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 </w:t>
      </w:r>
      <w:r w:rsidR="003D6DE5" w:rsidRPr="003D6DE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</w:t>
      </w:r>
      <w:r w:rsidR="003D6DE5"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>-м  периоде медицинск</w:t>
      </w:r>
      <w:r w:rsidR="008F78F1" w:rsidRPr="005512EC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3D6DE5"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</w:t>
      </w:r>
      <w:r w:rsidR="008F78F1" w:rsidRPr="005512EC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3D6DE5"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78F1" w:rsidRPr="00551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достижении результата </w:t>
      </w:r>
      <w:r w:rsidR="003D6DE5" w:rsidRPr="003D6DE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="008F78F1" w:rsidRPr="005512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18A2031" w14:textId="17D07974" w:rsidR="003D6DE5" w:rsidRPr="003D6DE5" w:rsidRDefault="003D6DE5" w:rsidP="003D6DE5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6DE5">
        <w:rPr>
          <w:rFonts w:ascii="Times New Roman" w:eastAsia="Calibri" w:hAnsi="Times New Roman" w:cs="Times New Roman"/>
          <w:sz w:val="24"/>
          <w:szCs w:val="24"/>
        </w:rPr>
        <w:t xml:space="preserve">Объем средств, направляемый в </w:t>
      </w:r>
      <w:r w:rsidRPr="003D6DE5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3D6DE5">
        <w:rPr>
          <w:rFonts w:ascii="Times New Roman" w:eastAsia="Calibri" w:hAnsi="Times New Roman" w:cs="Times New Roman"/>
          <w:sz w:val="24"/>
          <w:szCs w:val="24"/>
        </w:rPr>
        <w:t xml:space="preserve">-ю медицинскую организацию </w:t>
      </w:r>
      <w:r w:rsidR="005512EC" w:rsidRPr="005512EC">
        <w:rPr>
          <w:rFonts w:ascii="Times New Roman" w:eastAsia="Calibri" w:hAnsi="Times New Roman" w:cs="Times New Roman"/>
          <w:sz w:val="24"/>
          <w:szCs w:val="24"/>
        </w:rPr>
        <w:t xml:space="preserve">при достижении результата </w:t>
      </w:r>
      <w:r w:rsidRPr="003D6DE5">
        <w:rPr>
          <w:rFonts w:ascii="Times New Roman" w:eastAsia="Calibri" w:hAnsi="Times New Roman" w:cs="Times New Roman"/>
          <w:sz w:val="24"/>
          <w:szCs w:val="24"/>
          <w:lang w:val="en-US"/>
        </w:rPr>
        <w:t>III</w:t>
      </w:r>
      <w:r w:rsidRPr="003D6DE5">
        <w:rPr>
          <w:rFonts w:ascii="Times New Roman" w:eastAsia="Calibri" w:hAnsi="Times New Roman" w:cs="Times New Roman"/>
          <w:sz w:val="24"/>
          <w:szCs w:val="24"/>
        </w:rPr>
        <w:t xml:space="preserve"> группы</w:t>
      </w:r>
      <w:r w:rsidRPr="003D6DE5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r w:rsidRPr="003D6DE5">
        <w:rPr>
          <w:rFonts w:ascii="Times New Roman" w:eastAsia="Times New Roman" w:hAnsi="Times New Roman" w:cs="Times New Roman"/>
          <w:sz w:val="24"/>
          <w:szCs w:val="24"/>
          <w:lang w:val="en-US"/>
        </w:rPr>
        <w:t>j</w:t>
      </w:r>
      <w:r w:rsidRPr="003D6DE5">
        <w:rPr>
          <w:rFonts w:ascii="Times New Roman" w:eastAsia="Times New Roman" w:hAnsi="Times New Roman" w:cs="Times New Roman"/>
          <w:sz w:val="24"/>
          <w:szCs w:val="24"/>
        </w:rPr>
        <w:t>-тый период,</w:t>
      </w:r>
      <w:r w:rsidRPr="003D6DE5">
        <w:rPr>
          <w:rFonts w:ascii="Times New Roman" w:eastAsia="Calibri" w:hAnsi="Times New Roman" w:cs="Times New Roman"/>
          <w:sz w:val="24"/>
          <w:szCs w:val="24"/>
        </w:rPr>
        <w:t xml:space="preserve"> при распределении 30 процентов от объема средств на стимулирование медицинск</w:t>
      </w:r>
      <w:r w:rsidR="005512EC" w:rsidRPr="005512EC">
        <w:rPr>
          <w:rFonts w:ascii="Times New Roman" w:eastAsia="Calibri" w:hAnsi="Times New Roman" w:cs="Times New Roman"/>
          <w:sz w:val="24"/>
          <w:szCs w:val="24"/>
        </w:rPr>
        <w:t>ой</w:t>
      </w:r>
      <w:r w:rsidRPr="003D6DE5">
        <w:rPr>
          <w:rFonts w:ascii="Times New Roman" w:eastAsia="Calibri" w:hAnsi="Times New Roman" w:cs="Times New Roman"/>
          <w:sz w:val="24"/>
          <w:szCs w:val="24"/>
        </w:rPr>
        <w:t xml:space="preserve"> организаци</w:t>
      </w:r>
      <w:r w:rsidR="005512EC" w:rsidRPr="005512EC">
        <w:rPr>
          <w:rFonts w:ascii="Times New Roman" w:eastAsia="Calibri" w:hAnsi="Times New Roman" w:cs="Times New Roman"/>
          <w:sz w:val="24"/>
          <w:szCs w:val="24"/>
        </w:rPr>
        <w:t>и</w:t>
      </w:r>
      <w:r w:rsidRPr="003D6DE5">
        <w:rPr>
          <w:rFonts w:ascii="Times New Roman" w:eastAsia="Calibri" w:hAnsi="Times New Roman" w:cs="Times New Roman"/>
          <w:sz w:val="24"/>
          <w:szCs w:val="24"/>
        </w:rPr>
        <w:t xml:space="preserve">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j</m:t>
            </m:r>
          </m:sup>
        </m:sSubSup>
      </m:oMath>
      <w:r w:rsidRPr="003D6DE5">
        <w:rPr>
          <w:rFonts w:ascii="Times New Roman" w:eastAsia="Calibri" w:hAnsi="Times New Roman" w:cs="Times New Roman"/>
          <w:sz w:val="24"/>
          <w:szCs w:val="24"/>
        </w:rPr>
        <w:t>), рассчитывается следующим образом:</w:t>
      </w:r>
    </w:p>
    <w:p w14:paraId="4B01CB1F" w14:textId="77777777" w:rsidR="003D6DE5" w:rsidRPr="003D6DE5" w:rsidRDefault="003D6DE5" w:rsidP="003D6DE5">
      <w:pPr>
        <w:spacing w:before="120" w:after="0" w:line="259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EDA3D81" w14:textId="77777777" w:rsidR="003D6DE5" w:rsidRPr="003D6DE5" w:rsidRDefault="00055597" w:rsidP="003D6DE5">
      <w:pPr>
        <w:spacing w:after="0" w:line="259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4"/>
            <w:szCs w:val="24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РД(балл)</m:t>
            </m:r>
          </m:sub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Балл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,</m:t>
        </m:r>
      </m:oMath>
      <w:r w:rsidR="003D6DE5"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5763E27" w14:textId="77777777" w:rsidR="003D6DE5" w:rsidRPr="003D6DE5" w:rsidRDefault="003D6DE5" w:rsidP="003D6DE5">
      <w:pPr>
        <w:spacing w:after="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14:paraId="143B322A" w14:textId="392BCAE6" w:rsidR="003D6DE5" w:rsidRPr="003D6DE5" w:rsidRDefault="00055597" w:rsidP="003D6DE5">
      <w:pPr>
        <w:widowControl w:val="0"/>
        <w:autoSpaceDE w:val="0"/>
        <w:autoSpaceDN w:val="0"/>
        <w:spacing w:before="120" w:after="0" w:line="240" w:lineRule="auto"/>
        <w:ind w:left="1843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Балл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         </m:t>
        </m:r>
      </m:oMath>
      <w:r w:rsidR="003D6DE5"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баллов, набранных в </w:t>
      </w:r>
      <w:r w:rsidR="003D6DE5" w:rsidRPr="003D6DE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</w:t>
      </w:r>
      <w:r w:rsidR="003D6DE5"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 периоде </w:t>
      </w:r>
      <w:r w:rsidR="003D6DE5" w:rsidRPr="003D6DE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3D6DE5"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-той медицинской организацией </w:t>
      </w:r>
      <w:r w:rsidR="005512EC" w:rsidRPr="00551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выполнившей достижение показателей по результату </w:t>
      </w:r>
      <w:r w:rsidR="003D6DE5" w:rsidRPr="003D6DE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="003D6DE5"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00407C" w14:textId="0B73A4BC" w:rsidR="003D6DE5" w:rsidRPr="003D6DE5" w:rsidRDefault="003D6DE5" w:rsidP="003D6DE5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объем средств, направляемых на оплату медицинской помощи с учетом показателей результативности деятельности в медицинскую организацию за </w:t>
      </w:r>
      <w:r w:rsidRPr="003D6DE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</w:t>
      </w:r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-тый период определяется путем суммирования 1 и 2 частей, а для медицинских организаций </w:t>
      </w:r>
      <w:r w:rsidR="005512EC" w:rsidRPr="00551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выполнившей достижение показателей по результату </w:t>
      </w:r>
      <w:r w:rsidRPr="003D6DE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Pr="003D6DE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</w:t>
      </w:r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>-тый период  –  равняется нулю.</w:t>
      </w:r>
    </w:p>
    <w:p w14:paraId="1B214EB0" w14:textId="255FEDD2" w:rsidR="005512EC" w:rsidRPr="003D6DE5" w:rsidRDefault="003D6DE5" w:rsidP="005512EC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следует производить при условии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14:paraId="3F7C73D3" w14:textId="77777777" w:rsidR="003D6DE5" w:rsidRPr="003D6DE5" w:rsidRDefault="003D6DE5" w:rsidP="003D6DE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 выполнения медицинской организацией менее 90 процентов указанного объема медицинской помощи, Комиссия вправе применять понижающие коэффициенты к размеру стимулирующих выплат в зависимости от процента выполнения объемов медицинской помощи.</w:t>
      </w:r>
    </w:p>
    <w:p w14:paraId="2474378D" w14:textId="7179F000" w:rsidR="003D6DE5" w:rsidRPr="003D6DE5" w:rsidRDefault="003D6DE5" w:rsidP="003D6DE5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условиях распространения новой коронавирусной инфекции</w:t>
      </w:r>
      <w:r w:rsidR="005512EC" w:rsidRPr="00CC0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D6DE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COVID</w:t>
      </w:r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>-19) методика расчёта показателя может быть скорректирована на предмет исключения из расчета периода, когда деятельность медицинской организации (в части соответствующего направления деятельности) была приостановлена приказом руководителя</w:t>
      </w:r>
      <w:r w:rsidR="005512EC" w:rsidRPr="00CC0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медицинской организации за расчетный период путем перерасчета к значению за период.</w:t>
      </w:r>
    </w:p>
    <w:p w14:paraId="7B190593" w14:textId="5AA976FE" w:rsidR="008D0E89" w:rsidRPr="005512EC" w:rsidRDefault="003D6DE5" w:rsidP="005512E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неблагоприятной эпидемиологической обстановки, связанной с распространением новой коронавирусной инфекции (COVID-19), и особенностей оказания</w:t>
      </w:r>
      <w:r w:rsidR="005512EC" w:rsidRPr="00CC0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медицинской помощи в амбулаторных условиях в соответствующий период в тарифном соглашении </w:t>
      </w:r>
      <w:r w:rsidR="00CC010D" w:rsidRPr="00CC010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устанавливается</w:t>
      </w:r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дат</w:t>
      </w:r>
      <w:r w:rsidR="00CC010D" w:rsidRPr="00CC010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D6DE5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которой финансовое обеспечение медицинской помощи, оказанной медицинской организацией, имеющей прикрепившихся лиц, будет осуществляться с учетом показателей результативности деятельности.</w:t>
      </w:r>
      <w:bookmarkEnd w:id="1"/>
      <w:r w:rsidR="008A06B7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sectPr w:rsidR="008D0E89" w:rsidRPr="005512EC" w:rsidSect="00DA27E0">
      <w:pgSz w:w="11906" w:h="16838"/>
      <w:pgMar w:top="567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C6E70"/>
    <w:multiLevelType w:val="hybridMultilevel"/>
    <w:tmpl w:val="279A9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5271"/>
    <w:rsid w:val="00055597"/>
    <w:rsid w:val="000B740D"/>
    <w:rsid w:val="00124305"/>
    <w:rsid w:val="0023110B"/>
    <w:rsid w:val="002601D1"/>
    <w:rsid w:val="0030138C"/>
    <w:rsid w:val="003330E7"/>
    <w:rsid w:val="00345928"/>
    <w:rsid w:val="003D6DE5"/>
    <w:rsid w:val="004512A0"/>
    <w:rsid w:val="004A3C93"/>
    <w:rsid w:val="004D3832"/>
    <w:rsid w:val="005512EC"/>
    <w:rsid w:val="00595939"/>
    <w:rsid w:val="005C44D8"/>
    <w:rsid w:val="00687D83"/>
    <w:rsid w:val="007A496F"/>
    <w:rsid w:val="008767D1"/>
    <w:rsid w:val="008A06B7"/>
    <w:rsid w:val="008C5271"/>
    <w:rsid w:val="008D0E89"/>
    <w:rsid w:val="008F78F1"/>
    <w:rsid w:val="009446C5"/>
    <w:rsid w:val="00AE5A42"/>
    <w:rsid w:val="00B27372"/>
    <w:rsid w:val="00BA7A1C"/>
    <w:rsid w:val="00BB205C"/>
    <w:rsid w:val="00C13741"/>
    <w:rsid w:val="00CC010D"/>
    <w:rsid w:val="00D32C1E"/>
    <w:rsid w:val="00D96D42"/>
    <w:rsid w:val="00DA27E0"/>
    <w:rsid w:val="00DA319E"/>
    <w:rsid w:val="00E05A05"/>
    <w:rsid w:val="00E07953"/>
    <w:rsid w:val="00F04006"/>
    <w:rsid w:val="00FE65B9"/>
    <w:rsid w:val="00FF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DB2E8"/>
  <w15:docId w15:val="{D920807D-83CE-43C0-BC83-37A780A59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12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51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12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8</Pages>
  <Words>3077</Words>
  <Characters>17545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Рискин</dc:creator>
  <cp:lastModifiedBy>Евгений Рискин</cp:lastModifiedBy>
  <cp:revision>32</cp:revision>
  <dcterms:created xsi:type="dcterms:W3CDTF">2021-01-13T23:10:00Z</dcterms:created>
  <dcterms:modified xsi:type="dcterms:W3CDTF">2022-05-17T21:30:00Z</dcterms:modified>
</cp:coreProperties>
</file>